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B6B91" w14:textId="77777777" w:rsidR="00C764AC" w:rsidRPr="00C764AC" w:rsidRDefault="00C764AC" w:rsidP="00C764AC">
      <w:pPr>
        <w:ind w:firstLine="5812"/>
        <w:contextualSpacing/>
        <w:rPr>
          <w:rFonts w:ascii="Times New Roman" w:hAnsi="Times New Roman" w:cs="Times New Roman"/>
          <w:b/>
          <w:sz w:val="24"/>
          <w:szCs w:val="24"/>
          <w:lang w:val="uk-UA"/>
        </w:rPr>
      </w:pPr>
      <w:r w:rsidRPr="00C764AC">
        <w:rPr>
          <w:rFonts w:ascii="Times New Roman" w:hAnsi="Times New Roman" w:cs="Times New Roman"/>
          <w:b/>
          <w:sz w:val="24"/>
          <w:szCs w:val="24"/>
          <w:lang w:val="uk-UA"/>
        </w:rPr>
        <w:t>СХВАЛЕНО</w:t>
      </w:r>
    </w:p>
    <w:p w14:paraId="1E9A8892" w14:textId="77777777" w:rsidR="00C764AC" w:rsidRPr="00C764AC" w:rsidRDefault="00C764AC" w:rsidP="00C764AC">
      <w:pPr>
        <w:ind w:firstLine="5812"/>
        <w:contextualSpacing/>
        <w:rPr>
          <w:rFonts w:ascii="Times New Roman" w:hAnsi="Times New Roman" w:cs="Times New Roman"/>
          <w:bCs/>
          <w:sz w:val="24"/>
          <w:szCs w:val="24"/>
          <w:lang w:val="uk-UA"/>
        </w:rPr>
      </w:pPr>
    </w:p>
    <w:p w14:paraId="29761C49" w14:textId="0BCC0BE2" w:rsidR="00C764AC" w:rsidRPr="00C764AC" w:rsidRDefault="00C764AC" w:rsidP="00C764AC">
      <w:pPr>
        <w:spacing w:after="0" w:line="240" w:lineRule="auto"/>
        <w:ind w:firstLine="5812"/>
        <w:contextualSpacing/>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Рішення виконавчого комітету</w:t>
      </w:r>
    </w:p>
    <w:p w14:paraId="3327EECB" w14:textId="77777777" w:rsidR="00C764AC" w:rsidRPr="00C764AC" w:rsidRDefault="00C764AC" w:rsidP="00C764AC">
      <w:pPr>
        <w:spacing w:after="0" w:line="240" w:lineRule="auto"/>
        <w:ind w:firstLine="5812"/>
        <w:contextualSpacing/>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Петрівської селищної ради</w:t>
      </w:r>
    </w:p>
    <w:p w14:paraId="1E00A628" w14:textId="77777777" w:rsidR="00C764AC" w:rsidRPr="00C764AC" w:rsidRDefault="00C764AC" w:rsidP="00C764AC">
      <w:pPr>
        <w:spacing w:after="0" w:line="240" w:lineRule="auto"/>
        <w:ind w:firstLine="5812"/>
        <w:contextualSpacing/>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 серпня 2026 року № 461</w:t>
      </w:r>
    </w:p>
    <w:p w14:paraId="19F32027" w14:textId="77777777" w:rsidR="00C764AC" w:rsidRPr="00C764AC" w:rsidRDefault="00C764AC" w:rsidP="002B6A80">
      <w:pPr>
        <w:spacing w:after="0" w:line="240" w:lineRule="auto"/>
        <w:contextualSpacing/>
        <w:rPr>
          <w:rFonts w:ascii="Times New Roman" w:hAnsi="Times New Roman" w:cs="Times New Roman"/>
          <w:bCs/>
          <w:sz w:val="20"/>
          <w:szCs w:val="20"/>
          <w:lang w:val="uk-UA"/>
        </w:rPr>
      </w:pPr>
    </w:p>
    <w:p w14:paraId="1F2546EC" w14:textId="77777777" w:rsidR="00C764AC" w:rsidRPr="00C764AC" w:rsidRDefault="00C764AC" w:rsidP="002B6A80">
      <w:pPr>
        <w:spacing w:after="0" w:line="240" w:lineRule="auto"/>
        <w:contextualSpacing/>
        <w:rPr>
          <w:rFonts w:ascii="Times New Roman" w:hAnsi="Times New Roman" w:cs="Times New Roman"/>
          <w:bCs/>
          <w:sz w:val="20"/>
          <w:szCs w:val="20"/>
          <w:lang w:val="uk-UA"/>
        </w:rPr>
      </w:pPr>
    </w:p>
    <w:p w14:paraId="741E7B89" w14:textId="77777777" w:rsidR="00C764AC" w:rsidRPr="00C764AC" w:rsidRDefault="00C764AC" w:rsidP="002B6A80">
      <w:pPr>
        <w:spacing w:after="0" w:line="240" w:lineRule="auto"/>
        <w:contextualSpacing/>
        <w:rPr>
          <w:rFonts w:ascii="Times New Roman" w:hAnsi="Times New Roman" w:cs="Times New Roman"/>
          <w:bCs/>
          <w:sz w:val="20"/>
          <w:szCs w:val="20"/>
          <w:lang w:val="uk-UA"/>
        </w:rPr>
      </w:pPr>
    </w:p>
    <w:p w14:paraId="507632A0" w14:textId="77777777" w:rsidR="00C764AC" w:rsidRPr="00C764AC" w:rsidRDefault="00C764AC" w:rsidP="00C764AC">
      <w:pPr>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ПРОГНОЗ</w:t>
      </w:r>
    </w:p>
    <w:p w14:paraId="618107B4" w14:textId="77777777" w:rsidR="00C764AC" w:rsidRPr="00C764AC" w:rsidRDefault="00C764AC" w:rsidP="00C764AC">
      <w:pPr>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бюджету Петрівської селищної територіальної громади</w:t>
      </w:r>
    </w:p>
    <w:p w14:paraId="2E116D97" w14:textId="6F159C09" w:rsidR="00C764AC" w:rsidRPr="00C764AC" w:rsidRDefault="00C764AC" w:rsidP="00C764AC">
      <w:pPr>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на 2027-2029 роки</w:t>
      </w:r>
    </w:p>
    <w:p w14:paraId="6DA61497" w14:textId="77777777" w:rsidR="00C764AC" w:rsidRPr="00C764AC" w:rsidRDefault="00C764AC" w:rsidP="00C764AC">
      <w:pPr>
        <w:contextualSpacing/>
        <w:jc w:val="center"/>
        <w:rPr>
          <w:rFonts w:ascii="Times New Roman" w:hAnsi="Times New Roman" w:cs="Times New Roman"/>
          <w:b/>
          <w:sz w:val="24"/>
          <w:szCs w:val="24"/>
          <w:u w:val="single"/>
          <w:lang w:val="uk-UA"/>
        </w:rPr>
      </w:pPr>
      <w:r w:rsidRPr="00C764AC">
        <w:rPr>
          <w:rFonts w:ascii="Times New Roman" w:hAnsi="Times New Roman" w:cs="Times New Roman"/>
          <w:b/>
          <w:sz w:val="24"/>
          <w:szCs w:val="24"/>
          <w:u w:val="single"/>
          <w:lang w:val="uk-UA"/>
        </w:rPr>
        <w:t>(1152100000)</w:t>
      </w:r>
    </w:p>
    <w:p w14:paraId="1770E3C9" w14:textId="77777777" w:rsidR="00C764AC" w:rsidRPr="00C764AC" w:rsidRDefault="00C764AC" w:rsidP="00C764AC">
      <w:pPr>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(код бюджету)</w:t>
      </w:r>
    </w:p>
    <w:p w14:paraId="60DF6478" w14:textId="77777777" w:rsidR="00C764AC" w:rsidRPr="002B6A80" w:rsidRDefault="00C764AC" w:rsidP="00C764AC">
      <w:pPr>
        <w:spacing w:after="0" w:line="240" w:lineRule="auto"/>
        <w:contextualSpacing/>
        <w:rPr>
          <w:rFonts w:ascii="Times New Roman" w:hAnsi="Times New Roman" w:cs="Times New Roman"/>
          <w:bCs/>
          <w:sz w:val="20"/>
          <w:szCs w:val="20"/>
          <w:lang w:val="uk-UA"/>
        </w:rPr>
      </w:pPr>
    </w:p>
    <w:p w14:paraId="1C7F453F" w14:textId="77777777" w:rsidR="00C764AC" w:rsidRPr="00C764AC" w:rsidRDefault="00C764AC" w:rsidP="00C764AC">
      <w:pPr>
        <w:spacing w:after="0" w:line="240" w:lineRule="auto"/>
        <w:contextualSpacing/>
        <w:rPr>
          <w:rFonts w:ascii="Times New Roman" w:hAnsi="Times New Roman" w:cs="Times New Roman"/>
          <w:bCs/>
          <w:sz w:val="20"/>
          <w:szCs w:val="20"/>
          <w:lang w:val="uk-UA"/>
        </w:rPr>
      </w:pPr>
    </w:p>
    <w:p w14:paraId="751E3040" w14:textId="77777777" w:rsidR="00C764AC" w:rsidRDefault="00C764AC" w:rsidP="00C764A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І. Загальна частина</w:t>
      </w:r>
    </w:p>
    <w:p w14:paraId="7D5E3F9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222DED3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Прогноз бюджету Петрівської селищної територіальної громади на  2027-2029 роки (далі – Прогноз) – це стратегічний документ планування показників бюджету Петрівської селищної територіальної громади, який є основою для складання </w:t>
      </w:r>
      <w:proofErr w:type="spellStart"/>
      <w:r w:rsidRPr="00C764AC">
        <w:rPr>
          <w:rFonts w:ascii="Times New Roman" w:hAnsi="Times New Roman" w:cs="Times New Roman"/>
          <w:bCs/>
          <w:sz w:val="24"/>
          <w:szCs w:val="24"/>
          <w:lang w:val="uk-UA"/>
        </w:rPr>
        <w:t>проєкту</w:t>
      </w:r>
      <w:proofErr w:type="spellEnd"/>
      <w:r w:rsidRPr="00C764AC">
        <w:rPr>
          <w:rFonts w:ascii="Times New Roman" w:hAnsi="Times New Roman" w:cs="Times New Roman"/>
          <w:bCs/>
          <w:sz w:val="24"/>
          <w:szCs w:val="24"/>
          <w:lang w:val="uk-UA"/>
        </w:rPr>
        <w:t xml:space="preserve"> бюджету громади на 2027 рік і визначає основні напрями дій у середньостроковій перспективі, які сприятимуть досягненню довгострокових стратегічних цілей.</w:t>
      </w:r>
    </w:p>
    <w:p w14:paraId="56F2AC2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Показники Прогнозу сформовано на підставі положень статей 75</w:t>
      </w:r>
      <w:r w:rsidRPr="00C764AC">
        <w:rPr>
          <w:rFonts w:ascii="Times New Roman" w:hAnsi="Times New Roman" w:cs="Times New Roman"/>
          <w:bCs/>
          <w:sz w:val="24"/>
          <w:szCs w:val="24"/>
          <w:vertAlign w:val="superscript"/>
          <w:lang w:val="uk-UA"/>
        </w:rPr>
        <w:t>1</w:t>
      </w:r>
      <w:r w:rsidRPr="00C764AC">
        <w:rPr>
          <w:rFonts w:ascii="Times New Roman" w:hAnsi="Times New Roman" w:cs="Times New Roman"/>
          <w:bCs/>
          <w:sz w:val="24"/>
          <w:szCs w:val="24"/>
          <w:lang w:val="uk-UA"/>
        </w:rPr>
        <w:t>, 75</w:t>
      </w:r>
      <w:r w:rsidRPr="00C764AC">
        <w:rPr>
          <w:rFonts w:ascii="Times New Roman" w:hAnsi="Times New Roman" w:cs="Times New Roman"/>
          <w:bCs/>
          <w:sz w:val="24"/>
          <w:szCs w:val="24"/>
          <w:vertAlign w:val="superscript"/>
          <w:lang w:val="uk-UA"/>
        </w:rPr>
        <w:t xml:space="preserve">2 </w:t>
      </w:r>
      <w:r w:rsidRPr="00C764AC">
        <w:rPr>
          <w:rFonts w:ascii="Times New Roman" w:hAnsi="Times New Roman" w:cs="Times New Roman"/>
          <w:bCs/>
          <w:sz w:val="24"/>
          <w:szCs w:val="24"/>
          <w:lang w:val="uk-UA"/>
        </w:rPr>
        <w:t xml:space="preserve">Бюджетного кодексу України, Бюджетної декларації на 2027–2029 роки та основних прогнозних </w:t>
      </w:r>
      <w:proofErr w:type="spellStart"/>
      <w:r w:rsidRPr="00C764AC">
        <w:rPr>
          <w:rFonts w:ascii="Times New Roman" w:hAnsi="Times New Roman" w:cs="Times New Roman"/>
          <w:bCs/>
          <w:sz w:val="24"/>
          <w:szCs w:val="24"/>
          <w:lang w:val="uk-UA"/>
        </w:rPr>
        <w:t>макропоказників</w:t>
      </w:r>
      <w:proofErr w:type="spellEnd"/>
      <w:r w:rsidRPr="00C764AC">
        <w:rPr>
          <w:rFonts w:ascii="Times New Roman" w:hAnsi="Times New Roman" w:cs="Times New Roman"/>
          <w:bCs/>
          <w:sz w:val="24"/>
          <w:szCs w:val="24"/>
          <w:lang w:val="uk-UA"/>
        </w:rPr>
        <w:t xml:space="preserve"> економічного і соціального розвитку України, схвалених постановою Кабінету Міністрів України від 04 червня 2026 року № 695, з урахуванням пріоритетних напрямів Стратегії розвитку Петрівської селищної територіальної громади на 2025-2027 роки та Плану на 2025–2027 роки з реалізації Стратегії розвитку Петрівської селищної територіальної громади, затвердженої рішенням Петрівської селищної ради від 29 серпня 2025 року № 5650/8 і місцевих галузевих програм на відповідний період, затверджених селищною радою.</w:t>
      </w:r>
    </w:p>
    <w:p w14:paraId="36C3251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місцевого розвитку, визначення довгострокових інвестиційних програм, досягнення організаційної чіткості і ефективності виконання задач, поставлених перед територіальною громадою.</w:t>
      </w:r>
    </w:p>
    <w:p w14:paraId="7772C3C9" w14:textId="2DF088F0"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Мета Прогнозу полягає у формування послідовної та передбачуваної бюджетної політики на рівні громади шляхом створення дієвого механізму управління бюджетним процесом, встановлення зв’язку між стратегічними цілями та можливостями бюджету в середньостроковій перспективі.</w:t>
      </w:r>
    </w:p>
    <w:p w14:paraId="5F1B69A9" w14:textId="7FC21CA0"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 складений з урахуванням Методичних рекомендацій щодо організації середньострокового бюджетного планування на місцевому рівні, затверджених наказом Міністерства фінансів України від 23 травня 2025 року № 271, Типової форми прогнозу місцевого бюджету та Інструкції щодо складання місцевих бюджетів на середньострокову перспективу, затверджених наказом Міністерства фінансів України від 02 червня                       2021 року № 314 (зі змінами), з використанням автоматизованої інформаційно-аналітичної системи «LOGICA» та вимог листа Міністерства фінансів України щодо особливостей складання розрахунків до прогнозів місцевих бюджетів на 2027–2029 роки.</w:t>
      </w:r>
    </w:p>
    <w:p w14:paraId="39B14F2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 xml:space="preserve">Прогноз закладає підґрунтя для формування </w:t>
      </w:r>
      <w:proofErr w:type="spellStart"/>
      <w:r w:rsidRPr="00C764AC">
        <w:rPr>
          <w:rFonts w:ascii="Times New Roman" w:hAnsi="Times New Roman" w:cs="Times New Roman"/>
          <w:bCs/>
          <w:sz w:val="24"/>
          <w:szCs w:val="24"/>
          <w:lang w:val="uk-UA"/>
        </w:rPr>
        <w:t>проєкту</w:t>
      </w:r>
      <w:proofErr w:type="spellEnd"/>
      <w:r w:rsidRPr="00C764AC">
        <w:rPr>
          <w:rFonts w:ascii="Times New Roman" w:hAnsi="Times New Roman" w:cs="Times New Roman"/>
          <w:bCs/>
          <w:sz w:val="24"/>
          <w:szCs w:val="24"/>
          <w:lang w:val="uk-UA"/>
        </w:rPr>
        <w:t xml:space="preserve"> бюджету Петрівської селищної територіальної громади на 2027 рік і містить загальні орієнтири щодо доходів, витрат та інших важливих показників.</w:t>
      </w:r>
    </w:p>
    <w:p w14:paraId="6236BEC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Показники Прогнозу є орієнтирами бюджетної політики Петрівської селищної територіальної громади у середньостроковому періоді для збалансування напрямів політики розвитку з можливостями бюджету громади.</w:t>
      </w:r>
    </w:p>
    <w:p w14:paraId="6941747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Основними завданнями для Прогнозу для досягнення його мети є:</w:t>
      </w:r>
    </w:p>
    <w:p w14:paraId="0F1DDE76" w14:textId="7667B9E1"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надходжень до бюджету селищної територіальної громади з урахуванням позитивної динаміки у порівнянні з попередніми роками;</w:t>
      </w:r>
    </w:p>
    <w:p w14:paraId="07EC178F" w14:textId="54D1243A"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концентрація ресурсів бюджету Петрівської селищної територіальної громади на виконанні пріоритетних цілей і завдань, спрямованих на відновлення і соціально-економічний розвиток територіальної громади;</w:t>
      </w:r>
    </w:p>
    <w:p w14:paraId="07506F6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забезпечення </w:t>
      </w:r>
      <w:proofErr w:type="spellStart"/>
      <w:r w:rsidRPr="00C764AC">
        <w:rPr>
          <w:rFonts w:ascii="Times New Roman" w:hAnsi="Times New Roman" w:cs="Times New Roman"/>
          <w:bCs/>
          <w:sz w:val="24"/>
          <w:szCs w:val="24"/>
          <w:lang w:val="uk-UA"/>
        </w:rPr>
        <w:t>проактивного</w:t>
      </w:r>
      <w:proofErr w:type="spellEnd"/>
      <w:r w:rsidRPr="00C764AC">
        <w:rPr>
          <w:rFonts w:ascii="Times New Roman" w:hAnsi="Times New Roman" w:cs="Times New Roman"/>
          <w:bCs/>
          <w:sz w:val="24"/>
          <w:szCs w:val="24"/>
          <w:lang w:val="uk-UA"/>
        </w:rPr>
        <w:t xml:space="preserve"> механізму управління бюджетними коштами, підвищення ефективності управління бюджетними коштами, що забезпечить вчасне прийняття виважених рішень;</w:t>
      </w:r>
    </w:p>
    <w:p w14:paraId="33CE09C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застосування дієвих методів економії бюджетних коштів;</w:t>
      </w:r>
    </w:p>
    <w:p w14:paraId="0259BE7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стабільного функціонування бюджетних установ та виконання заходів, передбачених цільовими бюджетними програмами;</w:t>
      </w:r>
    </w:p>
    <w:p w14:paraId="47ED4E7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запровадження ефективних заходів з енергозбереження в бюджетних установах і закладах;</w:t>
      </w:r>
    </w:p>
    <w:p w14:paraId="75E75C7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визначення та виконання завдань соціально-економічного розвитку територіальної громади з врахуванням їх пріоритетності;</w:t>
      </w:r>
    </w:p>
    <w:p w14:paraId="47D3CF32"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дотримання принципу забезпечення рівних гендерних прав і можливостей під час розподілу видатків головними розпорядниками бюджетних коштів за бюджетними програмами;</w:t>
      </w:r>
    </w:p>
    <w:p w14:paraId="23C09C6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удосконалення системи результативних показників з метою підвищення якості надання послуг у відповідних сферах;</w:t>
      </w:r>
    </w:p>
    <w:p w14:paraId="2F3C590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реального підґрунтя для виконання селищною територіальною громадою своїх повноважень в частині надання якісних публічних послуг та ефективного функціонування бюджетної системи;</w:t>
      </w:r>
    </w:p>
    <w:p w14:paraId="3930644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залучення інвестицій до бюджету Петрівської селищної територіальної громади;</w:t>
      </w:r>
    </w:p>
    <w:p w14:paraId="108469A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реалізація програм і проектів за рахунок фінансової допомоги в рамках угод про соціально-економічне партнерство, меморандумів тощо, укладених з суб’єктами господарювання різних форм власності;</w:t>
      </w:r>
    </w:p>
    <w:p w14:paraId="42D65F1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впровадження природоохоронних та енергоефективних заходів.</w:t>
      </w:r>
    </w:p>
    <w:p w14:paraId="350C033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 містить цілі державної, регіональної та місцевої політик у відповідній сфері діяльності, формування та/або реалізацію якої забезпечують  головні розпорядники коштів бюджету селищної територіальної громади, та показники їх досягнення на 2027–2029 роки у межах визначених граничних показників видатків та надання кредитів.</w:t>
      </w:r>
    </w:p>
    <w:p w14:paraId="28E48F2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середньострокову перспективу прогнозованість бюджету громади дозволить:</w:t>
      </w:r>
    </w:p>
    <w:p w14:paraId="635599A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roofErr w:type="spellStart"/>
      <w:r w:rsidRPr="00C764AC">
        <w:rPr>
          <w:rFonts w:ascii="Times New Roman" w:hAnsi="Times New Roman" w:cs="Times New Roman"/>
          <w:bCs/>
          <w:sz w:val="24"/>
          <w:szCs w:val="24"/>
        </w:rPr>
        <w:t>забезпечити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стабільне</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фінансування</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пріоритетних</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напрямів</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розвитку</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громади</w:t>
      </w:r>
      <w:proofErr w:type="spellEnd"/>
      <w:r w:rsidRPr="00C764AC">
        <w:rPr>
          <w:rFonts w:ascii="Times New Roman" w:hAnsi="Times New Roman" w:cs="Times New Roman"/>
          <w:bCs/>
          <w:sz w:val="24"/>
          <w:szCs w:val="24"/>
        </w:rPr>
        <w:t xml:space="preserve">; </w:t>
      </w:r>
    </w:p>
    <w:p w14:paraId="65F4492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roofErr w:type="spellStart"/>
      <w:r w:rsidRPr="00C764AC">
        <w:rPr>
          <w:rFonts w:ascii="Times New Roman" w:hAnsi="Times New Roman" w:cs="Times New Roman"/>
          <w:bCs/>
          <w:sz w:val="24"/>
          <w:szCs w:val="24"/>
        </w:rPr>
        <w:t>підвищити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ефективність</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середньострокового</w:t>
      </w:r>
      <w:proofErr w:type="spellEnd"/>
      <w:r w:rsidRPr="00C764AC">
        <w:rPr>
          <w:rFonts w:ascii="Times New Roman" w:hAnsi="Times New Roman" w:cs="Times New Roman"/>
          <w:bCs/>
          <w:sz w:val="24"/>
          <w:szCs w:val="24"/>
        </w:rPr>
        <w:t xml:space="preserve"> бюджетного </w:t>
      </w:r>
      <w:proofErr w:type="spellStart"/>
      <w:r w:rsidRPr="00C764AC">
        <w:rPr>
          <w:rFonts w:ascii="Times New Roman" w:hAnsi="Times New Roman" w:cs="Times New Roman"/>
          <w:bCs/>
          <w:sz w:val="24"/>
          <w:szCs w:val="24"/>
        </w:rPr>
        <w:t>планування</w:t>
      </w:r>
      <w:proofErr w:type="spellEnd"/>
      <w:r w:rsidRPr="00C764AC">
        <w:rPr>
          <w:rFonts w:ascii="Times New Roman" w:hAnsi="Times New Roman" w:cs="Times New Roman"/>
          <w:bCs/>
          <w:sz w:val="24"/>
          <w:szCs w:val="24"/>
        </w:rPr>
        <w:t xml:space="preserve">; </w:t>
      </w:r>
    </w:p>
    <w:p w14:paraId="67A71A7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roofErr w:type="spellStart"/>
      <w:r w:rsidRPr="00C764AC">
        <w:rPr>
          <w:rFonts w:ascii="Times New Roman" w:hAnsi="Times New Roman" w:cs="Times New Roman"/>
          <w:bCs/>
          <w:sz w:val="24"/>
          <w:szCs w:val="24"/>
        </w:rPr>
        <w:t>своєчасно</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реалізовувати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інфраструктурні</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проєкти</w:t>
      </w:r>
      <w:proofErr w:type="spellEnd"/>
      <w:r w:rsidRPr="00C764AC">
        <w:rPr>
          <w:rFonts w:ascii="Times New Roman" w:hAnsi="Times New Roman" w:cs="Times New Roman"/>
          <w:bCs/>
          <w:sz w:val="24"/>
          <w:szCs w:val="24"/>
        </w:rPr>
        <w:t xml:space="preserve"> та </w:t>
      </w:r>
      <w:proofErr w:type="spellStart"/>
      <w:r w:rsidRPr="00C764AC">
        <w:rPr>
          <w:rFonts w:ascii="Times New Roman" w:hAnsi="Times New Roman" w:cs="Times New Roman"/>
          <w:bCs/>
          <w:sz w:val="24"/>
          <w:szCs w:val="24"/>
        </w:rPr>
        <w:t>програми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соціально-економічного</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розвитку</w:t>
      </w:r>
      <w:proofErr w:type="spellEnd"/>
      <w:r w:rsidRPr="00C764AC">
        <w:rPr>
          <w:rFonts w:ascii="Times New Roman" w:hAnsi="Times New Roman" w:cs="Times New Roman"/>
          <w:bCs/>
          <w:sz w:val="24"/>
          <w:szCs w:val="24"/>
        </w:rPr>
        <w:t xml:space="preserve">; </w:t>
      </w:r>
    </w:p>
    <w:p w14:paraId="10AEEAA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roofErr w:type="spellStart"/>
      <w:r w:rsidRPr="00C764AC">
        <w:rPr>
          <w:rFonts w:ascii="Times New Roman" w:hAnsi="Times New Roman" w:cs="Times New Roman"/>
          <w:bCs/>
          <w:sz w:val="24"/>
          <w:szCs w:val="24"/>
        </w:rPr>
        <w:t>раціонально</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розподіляти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фінансові</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ресурси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відповідно</w:t>
      </w:r>
      <w:proofErr w:type="spellEnd"/>
      <w:r w:rsidRPr="00C764AC">
        <w:rPr>
          <w:rFonts w:ascii="Times New Roman" w:hAnsi="Times New Roman" w:cs="Times New Roman"/>
          <w:bCs/>
          <w:sz w:val="24"/>
          <w:szCs w:val="24"/>
        </w:rPr>
        <w:t xml:space="preserve"> до </w:t>
      </w:r>
      <w:proofErr w:type="spellStart"/>
      <w:r w:rsidRPr="00C764AC">
        <w:rPr>
          <w:rFonts w:ascii="Times New Roman" w:hAnsi="Times New Roman" w:cs="Times New Roman"/>
          <w:bCs/>
          <w:sz w:val="24"/>
          <w:szCs w:val="24"/>
        </w:rPr>
        <w:t>стратегічних</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пріоритетів</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громади</w:t>
      </w:r>
      <w:proofErr w:type="spellEnd"/>
      <w:r w:rsidRPr="00C764AC">
        <w:rPr>
          <w:rFonts w:ascii="Times New Roman" w:hAnsi="Times New Roman" w:cs="Times New Roman"/>
          <w:bCs/>
          <w:sz w:val="24"/>
          <w:szCs w:val="24"/>
        </w:rPr>
        <w:t xml:space="preserve">; </w:t>
      </w:r>
    </w:p>
    <w:p w14:paraId="216D9F1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roofErr w:type="spellStart"/>
      <w:r w:rsidRPr="00C764AC">
        <w:rPr>
          <w:rFonts w:ascii="Times New Roman" w:hAnsi="Times New Roman" w:cs="Times New Roman"/>
          <w:bCs/>
          <w:sz w:val="24"/>
          <w:szCs w:val="24"/>
        </w:rPr>
        <w:t>підвищити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фінансову</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стійкість</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громади</w:t>
      </w:r>
      <w:proofErr w:type="spellEnd"/>
      <w:r w:rsidRPr="00C764AC">
        <w:rPr>
          <w:rFonts w:ascii="Times New Roman" w:hAnsi="Times New Roman" w:cs="Times New Roman"/>
          <w:bCs/>
          <w:sz w:val="24"/>
          <w:szCs w:val="24"/>
        </w:rPr>
        <w:t xml:space="preserve"> та </w:t>
      </w:r>
      <w:proofErr w:type="spellStart"/>
      <w:r w:rsidRPr="00C764AC">
        <w:rPr>
          <w:rFonts w:ascii="Times New Roman" w:hAnsi="Times New Roman" w:cs="Times New Roman"/>
          <w:bCs/>
          <w:sz w:val="24"/>
          <w:szCs w:val="24"/>
        </w:rPr>
        <w:t>ефективність</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управління</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бюджетними</w:t>
      </w:r>
      <w:proofErr w:type="spellEnd"/>
      <w:r w:rsidRPr="00C764AC">
        <w:rPr>
          <w:rFonts w:ascii="Times New Roman" w:hAnsi="Times New Roman" w:cs="Times New Roman"/>
          <w:bCs/>
          <w:sz w:val="24"/>
          <w:szCs w:val="24"/>
        </w:rPr>
        <w:t xml:space="preserve"> коштами; </w:t>
      </w:r>
    </w:p>
    <w:p w14:paraId="057D816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roofErr w:type="spellStart"/>
      <w:r w:rsidRPr="00C764AC">
        <w:rPr>
          <w:rFonts w:ascii="Times New Roman" w:hAnsi="Times New Roman" w:cs="Times New Roman"/>
          <w:bCs/>
          <w:sz w:val="24"/>
          <w:szCs w:val="24"/>
        </w:rPr>
        <w:t>забезпечити</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прозорість</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передбачуваність</w:t>
      </w:r>
      <w:proofErr w:type="spellEnd"/>
      <w:r w:rsidRPr="00C764AC">
        <w:rPr>
          <w:rFonts w:ascii="Times New Roman" w:hAnsi="Times New Roman" w:cs="Times New Roman"/>
          <w:bCs/>
          <w:sz w:val="24"/>
          <w:szCs w:val="24"/>
        </w:rPr>
        <w:t xml:space="preserve"> та </w:t>
      </w:r>
      <w:proofErr w:type="spellStart"/>
      <w:r w:rsidRPr="00C764AC">
        <w:rPr>
          <w:rFonts w:ascii="Times New Roman" w:hAnsi="Times New Roman" w:cs="Times New Roman"/>
          <w:bCs/>
          <w:sz w:val="24"/>
          <w:szCs w:val="24"/>
        </w:rPr>
        <w:t>довіру</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мешканців</w:t>
      </w:r>
      <w:proofErr w:type="spellEnd"/>
      <w:r w:rsidRPr="00C764AC">
        <w:rPr>
          <w:rFonts w:ascii="Times New Roman" w:hAnsi="Times New Roman" w:cs="Times New Roman"/>
          <w:bCs/>
          <w:sz w:val="24"/>
          <w:szCs w:val="24"/>
        </w:rPr>
        <w:t xml:space="preserve"> і </w:t>
      </w:r>
      <w:proofErr w:type="spellStart"/>
      <w:r w:rsidRPr="00C764AC">
        <w:rPr>
          <w:rFonts w:ascii="Times New Roman" w:hAnsi="Times New Roman" w:cs="Times New Roman"/>
          <w:bCs/>
          <w:sz w:val="24"/>
          <w:szCs w:val="24"/>
        </w:rPr>
        <w:t>партнерів</w:t>
      </w:r>
      <w:proofErr w:type="spellEnd"/>
      <w:r w:rsidRPr="00C764AC">
        <w:rPr>
          <w:rFonts w:ascii="Times New Roman" w:hAnsi="Times New Roman" w:cs="Times New Roman"/>
          <w:bCs/>
          <w:sz w:val="24"/>
          <w:szCs w:val="24"/>
        </w:rPr>
        <w:t xml:space="preserve"> до бюджетного </w:t>
      </w:r>
      <w:proofErr w:type="spellStart"/>
      <w:r w:rsidRPr="00C764AC">
        <w:rPr>
          <w:rFonts w:ascii="Times New Roman" w:hAnsi="Times New Roman" w:cs="Times New Roman"/>
          <w:bCs/>
          <w:sz w:val="24"/>
          <w:szCs w:val="24"/>
        </w:rPr>
        <w:t>процесу</w:t>
      </w:r>
      <w:proofErr w:type="spellEnd"/>
      <w:r w:rsidRPr="00C764AC">
        <w:rPr>
          <w:rFonts w:ascii="Times New Roman" w:hAnsi="Times New Roman" w:cs="Times New Roman"/>
          <w:bCs/>
          <w:sz w:val="24"/>
          <w:szCs w:val="24"/>
        </w:rPr>
        <w:t>.</w:t>
      </w:r>
    </w:p>
    <w:p w14:paraId="3AD97DB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Прогноз розрахований в умовах максимальної невизначеності, спричиненої активними бойовими діями, постійними змінами як зовнішніх, так і внутрішніх факторів впливу, </w:t>
      </w:r>
      <w:r w:rsidRPr="00C764AC">
        <w:rPr>
          <w:rFonts w:ascii="Times New Roman" w:hAnsi="Times New Roman" w:cs="Times New Roman"/>
          <w:bCs/>
          <w:sz w:val="24"/>
          <w:szCs w:val="24"/>
          <w:lang w:val="uk-UA"/>
        </w:rPr>
        <w:lastRenderedPageBreak/>
        <w:t>невизначеності щодо подальшого розвитку безпекової ситуації, пришвидшення інфляційних процесів, динаміки міграційних процесів тощо.</w:t>
      </w:r>
    </w:p>
    <w:p w14:paraId="44B9C68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Але незважаючи на умови максимальної невизначеності, трирічне планування сприяє більш ефективному розподілу ресурсів і підвищенню прозорості бюджетного процесу. Окрім того, його результати будуть корисними після стабілізації економічної ситуації, що буде особливо актуальним після завершення активних бойових дій. </w:t>
      </w:r>
    </w:p>
    <w:p w14:paraId="26010C9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виконання бюджету громади протягом 2027-2029 роки можуть вплинути наступні ризики:</w:t>
      </w:r>
    </w:p>
    <w:p w14:paraId="114CF2D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зміни бюджетного та податкового законодавства, зокрема перерозподіл доходних джерел між державним і місцевими бюджетами або зміна нормативів зарахування окремих податків; </w:t>
      </w:r>
    </w:p>
    <w:p w14:paraId="500E0BB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безпекові ризики, пов'язані з триваючою збройною агресією проти України, які можуть негативно вплинути на економічну активність, зайнятість населення та надходження до бюджету; </w:t>
      </w:r>
    </w:p>
    <w:p w14:paraId="45E40F8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інфляційні процеси та коливання цін, що можуть збільшити потребу у видатках на оплату праці, енергоносії, соціальні виплати та утримання бюджетних установ; </w:t>
      </w:r>
    </w:p>
    <w:p w14:paraId="5934495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уповільнення темпів економічного зростання на державному та регіональному рівнях, що може призвести до зменшення надходжень податку на доходи фізичних осіб, єдиного податку, плати за землю та інших місцевих податків і зборів; </w:t>
      </w:r>
    </w:p>
    <w:p w14:paraId="45ED86C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демографічні виклики, зокрема міграція населення, скорочення чисельності платників податків та дефіцит робочої сили; </w:t>
      </w:r>
    </w:p>
    <w:p w14:paraId="4457B49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зростання вартості енергоресурсів та комунальних послуг, що збільшить навантаження на видаткову частину бюджету; </w:t>
      </w:r>
    </w:p>
    <w:p w14:paraId="73B8D9B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надзвичайні ситуації природного чи техногенного характеру, які можуть потребувати невідкладного фінансування та перерозподілу бюджетних ресурсів.</w:t>
      </w:r>
    </w:p>
    <w:p w14:paraId="1584B31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Ці ризики можуть суттєво вплинути на досягнення визначених у Прогнозі цілей і загалом мати негативний вплив на соціально-економічне становище територіальної громади, тому даний Прогноз може бути скоригований як у бік поліпшення, так і в бік погіршення відповідно до зміни військової, політичної та економічної ситуації й можливої реалізації ризиків.</w:t>
      </w:r>
    </w:p>
    <w:p w14:paraId="1ED77E5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Максимальна невизначеність триває, тож треба бути готовими коригувати Прогноз відповідно до зміни військової та політичної ситуації й можливої реалізації ризиків.</w:t>
      </w:r>
    </w:p>
    <w:p w14:paraId="4C172C5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Прогноз включає основні прогнозні показники економічного і  соціального розвитку та показники доходів, витрат, фінансування бюджету, міжбюджетних відносин, викладених у текстовій частині та додатках 1-11, які є невід’ємною складовою частиною цього Прогнозу. </w:t>
      </w:r>
    </w:p>
    <w:p w14:paraId="300D0A2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7F4B605E" w14:textId="77777777" w:rsidR="00C764AC" w:rsidRDefault="00C764AC" w:rsidP="00C764A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ІІ. Основні прогнозні показники економічного та соціального розвитку</w:t>
      </w:r>
    </w:p>
    <w:p w14:paraId="2AADCF36" w14:textId="77777777" w:rsidR="00C764AC" w:rsidRPr="00C764AC" w:rsidRDefault="00C764AC" w:rsidP="00C764AC">
      <w:pPr>
        <w:spacing w:after="0" w:line="240" w:lineRule="auto"/>
        <w:ind w:firstLine="567"/>
        <w:contextualSpacing/>
        <w:rPr>
          <w:rFonts w:ascii="Times New Roman" w:hAnsi="Times New Roman" w:cs="Times New Roman"/>
          <w:bCs/>
          <w:sz w:val="24"/>
          <w:szCs w:val="24"/>
          <w:lang w:val="uk-UA"/>
        </w:rPr>
      </w:pPr>
    </w:p>
    <w:p w14:paraId="09BCED10" w14:textId="37A35F8C"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Показники соціально</w:t>
      </w:r>
      <w:r>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економічного розвитку Петрівської селищної територіальної громади на 2027 рік та два наступних роки окреслюють курс розвитку громади в цілому та визначають її перспективи на найближче майбутнє, із врахуванням економічних викликів пов’язаних з війною.</w:t>
      </w:r>
    </w:p>
    <w:p w14:paraId="2FDF3C7B" w14:textId="11953D6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Основне завдання економічного і соціального розвитку громади - це підтримка Збройних Сил України, забезпечення належного функціонування усіх сфер життєдіяльності громади, безпечних умов проживання в умовах воєнного стану, відновлення зруйнованих/пошкоджених об’єктів будівель та інфраструктури внаслідок збройної агресії проти України, надання допомоги сім’ям військовослужбовців, проведення заходів, спрямованих на забезпечення соціальної підтримки та адаптації ветеранів війни, членів їх сімей, членів сімей загиблих (померлих) Захисників та Захисниць України, тощо.</w:t>
      </w:r>
    </w:p>
    <w:p w14:paraId="222000F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Економіка Петрівської селищної територіальної громади представлена  агропромисловими підприємствами, фермерськими господарствами та закладами торгівлі, послуги і громадське харчування зосереджені на малому та середньому підприємництві.</w:t>
      </w:r>
    </w:p>
    <w:p w14:paraId="40D1EC1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Вагомий внесок у наповнені бюджету громади здійснюють сільськогосподарські виробники (вид діяльності - вирощування зернових культур, бобових культур і насіння олійних культур, розведення свиней і інших тварин), які працюють на території сіл, що увійшли до складу територіальної громади.</w:t>
      </w:r>
    </w:p>
    <w:p w14:paraId="505BA29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сьогоднішній день успішність економіки громади багато в чому залежить від ефективного розвитку промислового потенціалу. Саме сьогодні промисловість в сучасних умовах залишається основним джерелом розвитку та трансформаційних змін економічної проблеми сьогодення.</w:t>
      </w:r>
    </w:p>
    <w:p w14:paraId="667A8D4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Промисловий сектор громади представлено гірничодобувним підприємством ПрАТ «ЦГЗК» та сільськогосподарськими підприємствами з переробкою сільськогосподарської продукції (ТОВ «Агрофірма </w:t>
      </w:r>
      <w:proofErr w:type="spellStart"/>
      <w:r w:rsidRPr="00C764AC">
        <w:rPr>
          <w:rFonts w:ascii="Times New Roman" w:hAnsi="Times New Roman" w:cs="Times New Roman"/>
          <w:bCs/>
          <w:sz w:val="24"/>
          <w:szCs w:val="24"/>
          <w:lang w:val="uk-UA"/>
        </w:rPr>
        <w:t>П’ятихатська</w:t>
      </w:r>
      <w:proofErr w:type="spellEnd"/>
      <w:r w:rsidRPr="00C764AC">
        <w:rPr>
          <w:rFonts w:ascii="Times New Roman" w:hAnsi="Times New Roman" w:cs="Times New Roman"/>
          <w:bCs/>
          <w:sz w:val="24"/>
          <w:szCs w:val="24"/>
          <w:lang w:val="uk-UA"/>
        </w:rPr>
        <w:t xml:space="preserve">», СВК «Агрофірма </w:t>
      </w:r>
      <w:proofErr w:type="spellStart"/>
      <w:r w:rsidRPr="00C764AC">
        <w:rPr>
          <w:rFonts w:ascii="Times New Roman" w:hAnsi="Times New Roman" w:cs="Times New Roman"/>
          <w:bCs/>
          <w:sz w:val="24"/>
          <w:szCs w:val="24"/>
          <w:lang w:val="uk-UA"/>
        </w:rPr>
        <w:t>Маріампольська</w:t>
      </w:r>
      <w:proofErr w:type="spellEnd"/>
      <w:r w:rsidRPr="00C764AC">
        <w:rPr>
          <w:rFonts w:ascii="Times New Roman" w:hAnsi="Times New Roman" w:cs="Times New Roman"/>
          <w:bCs/>
          <w:sz w:val="24"/>
          <w:szCs w:val="24"/>
          <w:lang w:val="uk-UA"/>
        </w:rPr>
        <w:t xml:space="preserve">», ПСП «Зарічне»).  </w:t>
      </w:r>
    </w:p>
    <w:p w14:paraId="068B66C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Промисловими підприємствами громади вживаються заходи щодо забезпечення стабільного функціонування підприємств в умовах воєнного стану, виробництва продукції та підвищення її конкурентоспроможності.</w:t>
      </w:r>
    </w:p>
    <w:p w14:paraId="2CF3267B" w14:textId="4B5ED43C"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Споживчий ринок на території Петрівської селищної ради в умовах воєнного стану характеризується як стабільний і достатньо насичений товарами народного споживання. Попит населення громади в товарах народного споживання задовольняє 148 магазинів, з яких 7 супермаркетів, 12 фірмових магазинів та кіосків з продажу продукції місцевих товаровиробників за доступними цінами та належної якості, в яких забезпечено безперебійний продаж товарів власного виробництва.</w:t>
      </w:r>
    </w:p>
    <w:p w14:paraId="07180106" w14:textId="1000D14D"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Також на території громади діє 8 закладів громадського харчування, 19 підприємств побутового обслуговування населення, 15 аптек та 1 ринок з продажу товарів народного споживання.</w:t>
      </w:r>
    </w:p>
    <w:p w14:paraId="3EEBE97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території громади працюють відділення поштового зв’язку (Укрпошта, «Нова пошта»), які забезпечують своєчасну доставку кореспонденції і періодичних видань до споживачів, приймають платежі за спожиті житлово-комунальні послуги, здійснюється доставка пенсій, соціальних виплат та інше.</w:t>
      </w:r>
    </w:p>
    <w:p w14:paraId="7B68737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Основними пріоритетними завданнями економічного і соціального розвитку громади є:    </w:t>
      </w:r>
    </w:p>
    <w:p w14:paraId="7122720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стабільної роботи систем життєдіяльності громади та покращення якості життя населення;</w:t>
      </w:r>
    </w:p>
    <w:p w14:paraId="517D294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підтримка ініціатив жителів які беруть активну участь у повсякденному житті громади;</w:t>
      </w:r>
    </w:p>
    <w:p w14:paraId="49A514D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енергоефективність та захист навколишнього середовища;</w:t>
      </w:r>
    </w:p>
    <w:p w14:paraId="5D1DF8C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якісної мережі пішохідних зон, забезпечення безпечного та безперешкодного пересування пішоходів по всій території громади;</w:t>
      </w:r>
    </w:p>
    <w:p w14:paraId="61DD3D8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оновлення матеріально-технічної бази підприємств житлово-комунального господарства;</w:t>
      </w:r>
    </w:p>
    <w:p w14:paraId="7F8F864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розбудова мереж зливової каналізації, систем каналізування та водовідведення  на території громади, а також модернізація обладнання для водопостачання та очищення стічних вод;</w:t>
      </w:r>
    </w:p>
    <w:p w14:paraId="401FC1F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більш здорового способу життя у активній громаді шляхом широкого залучення мешканців громади до участі у спортивних та оздоровчих заходах.</w:t>
      </w:r>
    </w:p>
    <w:p w14:paraId="1D5FF42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показники бюджету селищної територіальної громади ґрунтуються на принципі збалансованості бюджету, що призведе до підвищення результативності та ефективності витрачання бюджетних коштів, посилення бюджетної дисципліни, покращить спрямування фінансового ресурсу на реалізацію пріоритетних соціальних напрямків та завдань для забезпечення динамічного і збалансованого розвитку громади.</w:t>
      </w:r>
    </w:p>
    <w:p w14:paraId="0527099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7DBFB1C1" w14:textId="77777777" w:rsidR="008077D5"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Показники соціально-економічного розвитку</w:t>
      </w:r>
      <w:r w:rsidR="008077D5">
        <w:rPr>
          <w:rFonts w:ascii="Times New Roman" w:hAnsi="Times New Roman" w:cs="Times New Roman"/>
          <w:b/>
          <w:sz w:val="24"/>
          <w:szCs w:val="24"/>
          <w:lang w:val="uk-UA"/>
        </w:rPr>
        <w:t xml:space="preserve"> </w:t>
      </w:r>
      <w:r w:rsidRPr="00C764AC">
        <w:rPr>
          <w:rFonts w:ascii="Times New Roman" w:hAnsi="Times New Roman" w:cs="Times New Roman"/>
          <w:b/>
          <w:sz w:val="24"/>
          <w:szCs w:val="24"/>
          <w:lang w:val="uk-UA"/>
        </w:rPr>
        <w:t xml:space="preserve">Петрівської селищної ради </w:t>
      </w:r>
    </w:p>
    <w:p w14:paraId="6D390A5C" w14:textId="4371BF2B" w:rsidR="00C764AC" w:rsidRPr="00C764AC"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у 2027-2029 роках</w:t>
      </w:r>
      <w:r w:rsidRPr="00C764AC">
        <w:rPr>
          <w:rFonts w:ascii="Times New Roman" w:hAnsi="Times New Roman" w:cs="Times New Roman"/>
          <w:b/>
          <w:sz w:val="24"/>
          <w:szCs w:val="24"/>
        </w:rPr>
        <w:br/>
      </w:r>
    </w:p>
    <w:tbl>
      <w:tblPr>
        <w:tblStyle w:val="a9"/>
        <w:tblW w:w="9747" w:type="dxa"/>
        <w:tblLook w:val="04A0" w:firstRow="1" w:lastRow="0" w:firstColumn="1" w:lastColumn="0" w:noHBand="0" w:noVBand="1"/>
      </w:tblPr>
      <w:tblGrid>
        <w:gridCol w:w="2541"/>
        <w:gridCol w:w="1377"/>
        <w:gridCol w:w="1651"/>
        <w:gridCol w:w="1546"/>
        <w:gridCol w:w="1398"/>
        <w:gridCol w:w="1234"/>
      </w:tblGrid>
      <w:tr w:rsidR="00DF5F2B" w:rsidRPr="00C764AC" w14:paraId="60DC6814" w14:textId="77777777" w:rsidTr="00DF5F2B">
        <w:tc>
          <w:tcPr>
            <w:tcW w:w="2541" w:type="dxa"/>
            <w:tcBorders>
              <w:top w:val="single" w:sz="4" w:space="0" w:color="auto"/>
              <w:left w:val="single" w:sz="4" w:space="0" w:color="auto"/>
              <w:bottom w:val="single" w:sz="4" w:space="0" w:color="auto"/>
              <w:right w:val="single" w:sz="4" w:space="0" w:color="auto"/>
            </w:tcBorders>
            <w:hideMark/>
          </w:tcPr>
          <w:p w14:paraId="404F6FAC" w14:textId="77777777" w:rsidR="00C764AC" w:rsidRPr="00C764AC" w:rsidRDefault="00C764AC" w:rsidP="00C764AC">
            <w:pPr>
              <w:ind w:firstLine="567"/>
              <w:contextualSpacing/>
              <w:jc w:val="both"/>
              <w:rPr>
                <w:rFonts w:ascii="Times New Roman" w:hAnsi="Times New Roman" w:cs="Times New Roman"/>
                <w:bCs/>
              </w:rPr>
            </w:pPr>
            <w:r w:rsidRPr="00C764AC">
              <w:rPr>
                <w:rFonts w:ascii="Times New Roman" w:hAnsi="Times New Roman" w:cs="Times New Roman"/>
                <w:bCs/>
              </w:rPr>
              <w:t xml:space="preserve">Найменування </w:t>
            </w:r>
            <w:r w:rsidRPr="00C764AC">
              <w:rPr>
                <w:rFonts w:ascii="Times New Roman" w:hAnsi="Times New Roman" w:cs="Times New Roman"/>
                <w:bCs/>
              </w:rPr>
              <w:lastRenderedPageBreak/>
              <w:t>показника, одиниця виміру</w:t>
            </w:r>
          </w:p>
        </w:tc>
        <w:tc>
          <w:tcPr>
            <w:tcW w:w="1377" w:type="dxa"/>
            <w:tcBorders>
              <w:top w:val="single" w:sz="4" w:space="0" w:color="auto"/>
              <w:left w:val="single" w:sz="4" w:space="0" w:color="auto"/>
              <w:bottom w:val="single" w:sz="4" w:space="0" w:color="auto"/>
              <w:right w:val="single" w:sz="4" w:space="0" w:color="auto"/>
            </w:tcBorders>
            <w:hideMark/>
          </w:tcPr>
          <w:p w14:paraId="427BE3E3"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2025 рік</w:t>
            </w:r>
          </w:p>
          <w:p w14:paraId="25E26378"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(звіт)</w:t>
            </w:r>
          </w:p>
        </w:tc>
        <w:tc>
          <w:tcPr>
            <w:tcW w:w="1651" w:type="dxa"/>
            <w:tcBorders>
              <w:top w:val="single" w:sz="4" w:space="0" w:color="auto"/>
              <w:left w:val="single" w:sz="4" w:space="0" w:color="auto"/>
              <w:bottom w:val="single" w:sz="4" w:space="0" w:color="auto"/>
              <w:right w:val="single" w:sz="4" w:space="0" w:color="auto"/>
            </w:tcBorders>
            <w:hideMark/>
          </w:tcPr>
          <w:p w14:paraId="790EAA90"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2026 рік</w:t>
            </w:r>
          </w:p>
          <w:p w14:paraId="42B24A74"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(затверджено)</w:t>
            </w:r>
          </w:p>
        </w:tc>
        <w:tc>
          <w:tcPr>
            <w:tcW w:w="1546" w:type="dxa"/>
            <w:tcBorders>
              <w:top w:val="single" w:sz="4" w:space="0" w:color="auto"/>
              <w:left w:val="single" w:sz="4" w:space="0" w:color="auto"/>
              <w:bottom w:val="single" w:sz="4" w:space="0" w:color="auto"/>
              <w:right w:val="single" w:sz="4" w:space="0" w:color="auto"/>
            </w:tcBorders>
            <w:hideMark/>
          </w:tcPr>
          <w:p w14:paraId="4CDF0C99"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2027 рік</w:t>
            </w:r>
          </w:p>
          <w:p w14:paraId="23F315DC"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(прогноз)</w:t>
            </w:r>
          </w:p>
        </w:tc>
        <w:tc>
          <w:tcPr>
            <w:tcW w:w="1398" w:type="dxa"/>
            <w:tcBorders>
              <w:top w:val="single" w:sz="4" w:space="0" w:color="auto"/>
              <w:left w:val="single" w:sz="4" w:space="0" w:color="auto"/>
              <w:bottom w:val="single" w:sz="4" w:space="0" w:color="auto"/>
              <w:right w:val="single" w:sz="4" w:space="0" w:color="auto"/>
            </w:tcBorders>
            <w:hideMark/>
          </w:tcPr>
          <w:p w14:paraId="3F9A6F51"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2028 рік</w:t>
            </w:r>
          </w:p>
          <w:p w14:paraId="22AD3A76"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(прогноз)</w:t>
            </w:r>
          </w:p>
        </w:tc>
        <w:tc>
          <w:tcPr>
            <w:tcW w:w="1234" w:type="dxa"/>
            <w:tcBorders>
              <w:top w:val="single" w:sz="4" w:space="0" w:color="auto"/>
              <w:left w:val="single" w:sz="4" w:space="0" w:color="auto"/>
              <w:bottom w:val="single" w:sz="4" w:space="0" w:color="auto"/>
              <w:right w:val="single" w:sz="4" w:space="0" w:color="auto"/>
            </w:tcBorders>
            <w:hideMark/>
          </w:tcPr>
          <w:p w14:paraId="6AA89802"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lastRenderedPageBreak/>
              <w:t xml:space="preserve">2029 рік </w:t>
            </w:r>
            <w:r w:rsidRPr="00C764AC">
              <w:rPr>
                <w:rFonts w:ascii="Times New Roman" w:hAnsi="Times New Roman" w:cs="Times New Roman"/>
                <w:bCs/>
              </w:rPr>
              <w:lastRenderedPageBreak/>
              <w:t>(прогноз)</w:t>
            </w:r>
          </w:p>
        </w:tc>
      </w:tr>
      <w:tr w:rsidR="00DF5F2B" w:rsidRPr="00C764AC" w14:paraId="7FFDA5C8" w14:textId="77777777" w:rsidTr="00DF5F2B">
        <w:trPr>
          <w:trHeight w:val="1412"/>
        </w:trPr>
        <w:tc>
          <w:tcPr>
            <w:tcW w:w="2541" w:type="dxa"/>
            <w:tcBorders>
              <w:top w:val="single" w:sz="4" w:space="0" w:color="auto"/>
              <w:left w:val="single" w:sz="4" w:space="0" w:color="auto"/>
              <w:bottom w:val="single" w:sz="4" w:space="0" w:color="auto"/>
              <w:right w:val="single" w:sz="4" w:space="0" w:color="auto"/>
            </w:tcBorders>
            <w:hideMark/>
          </w:tcPr>
          <w:p w14:paraId="0291C1ED" w14:textId="0A6A1FBD" w:rsidR="00C764AC" w:rsidRPr="00C764AC" w:rsidRDefault="00C764AC" w:rsidP="00DF5F2B">
            <w:pPr>
              <w:contextualSpacing/>
              <w:jc w:val="both"/>
              <w:rPr>
                <w:rFonts w:ascii="Times New Roman" w:hAnsi="Times New Roman" w:cs="Times New Roman"/>
                <w:bCs/>
              </w:rPr>
            </w:pPr>
            <w:r w:rsidRPr="00C764AC">
              <w:rPr>
                <w:rFonts w:ascii="Times New Roman" w:hAnsi="Times New Roman" w:cs="Times New Roman"/>
                <w:bCs/>
              </w:rPr>
              <w:lastRenderedPageBreak/>
              <w:t>Обсяг реалізованої промислової продукції по обліковому колу підприємств, тис.</w:t>
            </w:r>
            <w:r>
              <w:rPr>
                <w:rFonts w:ascii="Times New Roman" w:hAnsi="Times New Roman" w:cs="Times New Roman"/>
                <w:bCs/>
              </w:rPr>
              <w:t xml:space="preserve"> </w:t>
            </w:r>
            <w:r w:rsidRPr="00C764AC">
              <w:rPr>
                <w:rFonts w:ascii="Times New Roman" w:hAnsi="Times New Roman" w:cs="Times New Roman"/>
                <w:bCs/>
              </w:rPr>
              <w:t>грн</w:t>
            </w:r>
          </w:p>
        </w:tc>
        <w:tc>
          <w:tcPr>
            <w:tcW w:w="1377" w:type="dxa"/>
            <w:tcBorders>
              <w:top w:val="single" w:sz="4" w:space="0" w:color="auto"/>
              <w:left w:val="single" w:sz="4" w:space="0" w:color="auto"/>
              <w:bottom w:val="single" w:sz="4" w:space="0" w:color="auto"/>
              <w:right w:val="single" w:sz="4" w:space="0" w:color="auto"/>
            </w:tcBorders>
            <w:hideMark/>
          </w:tcPr>
          <w:p w14:paraId="2CC961D6"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12600</w:t>
            </w:r>
          </w:p>
        </w:tc>
        <w:tc>
          <w:tcPr>
            <w:tcW w:w="1651" w:type="dxa"/>
            <w:tcBorders>
              <w:top w:val="single" w:sz="4" w:space="0" w:color="auto"/>
              <w:left w:val="single" w:sz="4" w:space="0" w:color="auto"/>
              <w:bottom w:val="single" w:sz="4" w:space="0" w:color="auto"/>
              <w:right w:val="single" w:sz="4" w:space="0" w:color="auto"/>
            </w:tcBorders>
            <w:hideMark/>
          </w:tcPr>
          <w:p w14:paraId="44BB2630"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12700</w:t>
            </w:r>
          </w:p>
        </w:tc>
        <w:tc>
          <w:tcPr>
            <w:tcW w:w="1546" w:type="dxa"/>
            <w:tcBorders>
              <w:top w:val="single" w:sz="4" w:space="0" w:color="auto"/>
              <w:left w:val="single" w:sz="4" w:space="0" w:color="auto"/>
              <w:bottom w:val="single" w:sz="4" w:space="0" w:color="auto"/>
              <w:right w:val="single" w:sz="4" w:space="0" w:color="auto"/>
            </w:tcBorders>
            <w:hideMark/>
          </w:tcPr>
          <w:p w14:paraId="5AB4C8F1"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12850</w:t>
            </w:r>
          </w:p>
        </w:tc>
        <w:tc>
          <w:tcPr>
            <w:tcW w:w="1398" w:type="dxa"/>
            <w:tcBorders>
              <w:top w:val="single" w:sz="4" w:space="0" w:color="auto"/>
              <w:left w:val="single" w:sz="4" w:space="0" w:color="auto"/>
              <w:bottom w:val="single" w:sz="4" w:space="0" w:color="auto"/>
              <w:right w:val="single" w:sz="4" w:space="0" w:color="auto"/>
            </w:tcBorders>
            <w:hideMark/>
          </w:tcPr>
          <w:p w14:paraId="648DA6A8"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12900</w:t>
            </w:r>
          </w:p>
        </w:tc>
        <w:tc>
          <w:tcPr>
            <w:tcW w:w="1234" w:type="dxa"/>
            <w:tcBorders>
              <w:top w:val="single" w:sz="4" w:space="0" w:color="auto"/>
              <w:left w:val="single" w:sz="4" w:space="0" w:color="auto"/>
              <w:bottom w:val="single" w:sz="4" w:space="0" w:color="auto"/>
              <w:right w:val="single" w:sz="4" w:space="0" w:color="auto"/>
            </w:tcBorders>
            <w:hideMark/>
          </w:tcPr>
          <w:p w14:paraId="293F6475"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13000</w:t>
            </w:r>
          </w:p>
        </w:tc>
      </w:tr>
      <w:tr w:rsidR="00DF5F2B" w:rsidRPr="00C764AC" w14:paraId="64E34599" w14:textId="77777777" w:rsidTr="00DF5F2B">
        <w:trPr>
          <w:trHeight w:val="1128"/>
        </w:trPr>
        <w:tc>
          <w:tcPr>
            <w:tcW w:w="2541" w:type="dxa"/>
            <w:tcBorders>
              <w:top w:val="single" w:sz="4" w:space="0" w:color="auto"/>
              <w:left w:val="single" w:sz="4" w:space="0" w:color="auto"/>
              <w:bottom w:val="single" w:sz="4" w:space="0" w:color="auto"/>
              <w:right w:val="single" w:sz="4" w:space="0" w:color="auto"/>
            </w:tcBorders>
            <w:hideMark/>
          </w:tcPr>
          <w:p w14:paraId="40CDDC39" w14:textId="77777777" w:rsidR="00C764AC" w:rsidRPr="00C764AC" w:rsidRDefault="00C764AC" w:rsidP="00DF5F2B">
            <w:pPr>
              <w:contextualSpacing/>
              <w:jc w:val="both"/>
              <w:rPr>
                <w:rFonts w:ascii="Times New Roman" w:hAnsi="Times New Roman" w:cs="Times New Roman"/>
                <w:bCs/>
              </w:rPr>
            </w:pPr>
            <w:r w:rsidRPr="00C764AC">
              <w:rPr>
                <w:rFonts w:ascii="Times New Roman" w:hAnsi="Times New Roman" w:cs="Times New Roman"/>
                <w:bCs/>
              </w:rPr>
              <w:t>Обсяг реалізованої промислової продукції на одну особу населення, грн.</w:t>
            </w:r>
          </w:p>
        </w:tc>
        <w:tc>
          <w:tcPr>
            <w:tcW w:w="1377" w:type="dxa"/>
            <w:tcBorders>
              <w:top w:val="single" w:sz="4" w:space="0" w:color="auto"/>
              <w:left w:val="single" w:sz="4" w:space="0" w:color="auto"/>
              <w:bottom w:val="single" w:sz="4" w:space="0" w:color="auto"/>
              <w:right w:val="single" w:sz="4" w:space="0" w:color="auto"/>
            </w:tcBorders>
            <w:hideMark/>
          </w:tcPr>
          <w:p w14:paraId="34864635"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557,1</w:t>
            </w:r>
          </w:p>
        </w:tc>
        <w:tc>
          <w:tcPr>
            <w:tcW w:w="1651" w:type="dxa"/>
            <w:tcBorders>
              <w:top w:val="single" w:sz="4" w:space="0" w:color="auto"/>
              <w:left w:val="single" w:sz="4" w:space="0" w:color="auto"/>
              <w:bottom w:val="single" w:sz="4" w:space="0" w:color="auto"/>
              <w:right w:val="single" w:sz="4" w:space="0" w:color="auto"/>
            </w:tcBorders>
            <w:hideMark/>
          </w:tcPr>
          <w:p w14:paraId="1E402E61"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572,3</w:t>
            </w:r>
          </w:p>
        </w:tc>
        <w:tc>
          <w:tcPr>
            <w:tcW w:w="1546" w:type="dxa"/>
            <w:tcBorders>
              <w:top w:val="single" w:sz="4" w:space="0" w:color="auto"/>
              <w:left w:val="single" w:sz="4" w:space="0" w:color="auto"/>
              <w:bottom w:val="single" w:sz="4" w:space="0" w:color="auto"/>
              <w:right w:val="single" w:sz="4" w:space="0" w:color="auto"/>
            </w:tcBorders>
            <w:hideMark/>
          </w:tcPr>
          <w:p w14:paraId="1F4011E3"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589,4</w:t>
            </w:r>
          </w:p>
        </w:tc>
        <w:tc>
          <w:tcPr>
            <w:tcW w:w="1398" w:type="dxa"/>
            <w:tcBorders>
              <w:top w:val="single" w:sz="4" w:space="0" w:color="auto"/>
              <w:left w:val="single" w:sz="4" w:space="0" w:color="auto"/>
              <w:bottom w:val="single" w:sz="4" w:space="0" w:color="auto"/>
              <w:right w:val="single" w:sz="4" w:space="0" w:color="auto"/>
            </w:tcBorders>
            <w:hideMark/>
          </w:tcPr>
          <w:p w14:paraId="77FAF25A"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602,8</w:t>
            </w:r>
          </w:p>
        </w:tc>
        <w:tc>
          <w:tcPr>
            <w:tcW w:w="1234" w:type="dxa"/>
            <w:tcBorders>
              <w:top w:val="single" w:sz="4" w:space="0" w:color="auto"/>
              <w:left w:val="single" w:sz="4" w:space="0" w:color="auto"/>
              <w:bottom w:val="single" w:sz="4" w:space="0" w:color="auto"/>
              <w:right w:val="single" w:sz="4" w:space="0" w:color="auto"/>
            </w:tcBorders>
            <w:hideMark/>
          </w:tcPr>
          <w:p w14:paraId="71304C12"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608,3</w:t>
            </w:r>
          </w:p>
        </w:tc>
      </w:tr>
      <w:tr w:rsidR="00DF5F2B" w:rsidRPr="00C764AC" w14:paraId="487E9C87" w14:textId="77777777" w:rsidTr="00DF5F2B">
        <w:trPr>
          <w:trHeight w:val="1399"/>
        </w:trPr>
        <w:tc>
          <w:tcPr>
            <w:tcW w:w="2541" w:type="dxa"/>
            <w:tcBorders>
              <w:top w:val="single" w:sz="4" w:space="0" w:color="auto"/>
              <w:left w:val="single" w:sz="4" w:space="0" w:color="auto"/>
              <w:bottom w:val="single" w:sz="4" w:space="0" w:color="auto"/>
              <w:right w:val="single" w:sz="4" w:space="0" w:color="auto"/>
            </w:tcBorders>
            <w:hideMark/>
          </w:tcPr>
          <w:p w14:paraId="7DF1F08B" w14:textId="77777777" w:rsidR="00C764AC" w:rsidRPr="00C764AC" w:rsidRDefault="00C764AC" w:rsidP="00DF5F2B">
            <w:pPr>
              <w:contextualSpacing/>
              <w:jc w:val="both"/>
              <w:rPr>
                <w:rFonts w:ascii="Times New Roman" w:hAnsi="Times New Roman" w:cs="Times New Roman"/>
                <w:bCs/>
              </w:rPr>
            </w:pPr>
            <w:r w:rsidRPr="00C764AC">
              <w:rPr>
                <w:rFonts w:ascii="Times New Roman" w:hAnsi="Times New Roman" w:cs="Times New Roman"/>
                <w:bCs/>
              </w:rPr>
              <w:t>Темп зростання роздрібного товарообороту підприємств юридичних осіб, %</w:t>
            </w:r>
          </w:p>
        </w:tc>
        <w:tc>
          <w:tcPr>
            <w:tcW w:w="1377" w:type="dxa"/>
            <w:tcBorders>
              <w:top w:val="single" w:sz="4" w:space="0" w:color="auto"/>
              <w:left w:val="single" w:sz="4" w:space="0" w:color="auto"/>
              <w:bottom w:val="single" w:sz="4" w:space="0" w:color="auto"/>
              <w:right w:val="single" w:sz="4" w:space="0" w:color="auto"/>
            </w:tcBorders>
            <w:hideMark/>
          </w:tcPr>
          <w:p w14:paraId="45A60F43"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107,5</w:t>
            </w:r>
          </w:p>
        </w:tc>
        <w:tc>
          <w:tcPr>
            <w:tcW w:w="1651" w:type="dxa"/>
            <w:tcBorders>
              <w:top w:val="single" w:sz="4" w:space="0" w:color="auto"/>
              <w:left w:val="single" w:sz="4" w:space="0" w:color="auto"/>
              <w:bottom w:val="single" w:sz="4" w:space="0" w:color="auto"/>
              <w:right w:val="single" w:sz="4" w:space="0" w:color="auto"/>
            </w:tcBorders>
            <w:hideMark/>
          </w:tcPr>
          <w:p w14:paraId="0EA46678"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110,1</w:t>
            </w:r>
          </w:p>
        </w:tc>
        <w:tc>
          <w:tcPr>
            <w:tcW w:w="1546" w:type="dxa"/>
            <w:tcBorders>
              <w:top w:val="single" w:sz="4" w:space="0" w:color="auto"/>
              <w:left w:val="single" w:sz="4" w:space="0" w:color="auto"/>
              <w:bottom w:val="single" w:sz="4" w:space="0" w:color="auto"/>
              <w:right w:val="single" w:sz="4" w:space="0" w:color="auto"/>
            </w:tcBorders>
            <w:hideMark/>
          </w:tcPr>
          <w:p w14:paraId="53FBB700"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111,2</w:t>
            </w:r>
          </w:p>
        </w:tc>
        <w:tc>
          <w:tcPr>
            <w:tcW w:w="1398" w:type="dxa"/>
            <w:tcBorders>
              <w:top w:val="single" w:sz="4" w:space="0" w:color="auto"/>
              <w:left w:val="single" w:sz="4" w:space="0" w:color="auto"/>
              <w:bottom w:val="single" w:sz="4" w:space="0" w:color="auto"/>
              <w:right w:val="single" w:sz="4" w:space="0" w:color="auto"/>
            </w:tcBorders>
            <w:hideMark/>
          </w:tcPr>
          <w:p w14:paraId="7AA857AF"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113,4</w:t>
            </w:r>
          </w:p>
        </w:tc>
        <w:tc>
          <w:tcPr>
            <w:tcW w:w="1234" w:type="dxa"/>
            <w:tcBorders>
              <w:top w:val="single" w:sz="4" w:space="0" w:color="auto"/>
              <w:left w:val="single" w:sz="4" w:space="0" w:color="auto"/>
              <w:bottom w:val="single" w:sz="4" w:space="0" w:color="auto"/>
              <w:right w:val="single" w:sz="4" w:space="0" w:color="auto"/>
            </w:tcBorders>
            <w:hideMark/>
          </w:tcPr>
          <w:p w14:paraId="2738C8DD"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114,9</w:t>
            </w:r>
          </w:p>
        </w:tc>
      </w:tr>
      <w:tr w:rsidR="00DF5F2B" w:rsidRPr="00C764AC" w14:paraId="7CCCC3B8" w14:textId="77777777" w:rsidTr="00DF5F2B">
        <w:trPr>
          <w:trHeight w:val="1136"/>
        </w:trPr>
        <w:tc>
          <w:tcPr>
            <w:tcW w:w="2541" w:type="dxa"/>
            <w:tcBorders>
              <w:top w:val="single" w:sz="4" w:space="0" w:color="auto"/>
              <w:left w:val="single" w:sz="4" w:space="0" w:color="auto"/>
              <w:bottom w:val="single" w:sz="4" w:space="0" w:color="auto"/>
              <w:right w:val="single" w:sz="4" w:space="0" w:color="auto"/>
            </w:tcBorders>
            <w:hideMark/>
          </w:tcPr>
          <w:p w14:paraId="3C47C381" w14:textId="77777777" w:rsidR="00C764AC" w:rsidRPr="00C764AC" w:rsidRDefault="00C764AC" w:rsidP="00DF5F2B">
            <w:pPr>
              <w:contextualSpacing/>
              <w:jc w:val="both"/>
              <w:rPr>
                <w:rFonts w:ascii="Times New Roman" w:hAnsi="Times New Roman" w:cs="Times New Roman"/>
                <w:bCs/>
              </w:rPr>
            </w:pPr>
            <w:r w:rsidRPr="00C764AC">
              <w:rPr>
                <w:rFonts w:ascii="Times New Roman" w:hAnsi="Times New Roman" w:cs="Times New Roman"/>
                <w:bCs/>
              </w:rPr>
              <w:t>Середньомісячна заробітна плата одного штатного працівника, грн.</w:t>
            </w:r>
          </w:p>
        </w:tc>
        <w:tc>
          <w:tcPr>
            <w:tcW w:w="1377" w:type="dxa"/>
            <w:tcBorders>
              <w:top w:val="single" w:sz="4" w:space="0" w:color="auto"/>
              <w:left w:val="single" w:sz="4" w:space="0" w:color="auto"/>
              <w:bottom w:val="single" w:sz="4" w:space="0" w:color="auto"/>
              <w:right w:val="single" w:sz="4" w:space="0" w:color="auto"/>
            </w:tcBorders>
            <w:hideMark/>
          </w:tcPr>
          <w:p w14:paraId="28240B40"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15083</w:t>
            </w:r>
          </w:p>
        </w:tc>
        <w:tc>
          <w:tcPr>
            <w:tcW w:w="1651" w:type="dxa"/>
            <w:tcBorders>
              <w:top w:val="single" w:sz="4" w:space="0" w:color="auto"/>
              <w:left w:val="single" w:sz="4" w:space="0" w:color="auto"/>
              <w:bottom w:val="single" w:sz="4" w:space="0" w:color="auto"/>
              <w:right w:val="single" w:sz="4" w:space="0" w:color="auto"/>
            </w:tcBorders>
            <w:hideMark/>
          </w:tcPr>
          <w:p w14:paraId="09D0527F"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17100</w:t>
            </w:r>
          </w:p>
        </w:tc>
        <w:tc>
          <w:tcPr>
            <w:tcW w:w="1546" w:type="dxa"/>
            <w:tcBorders>
              <w:top w:val="single" w:sz="4" w:space="0" w:color="auto"/>
              <w:left w:val="single" w:sz="4" w:space="0" w:color="auto"/>
              <w:bottom w:val="single" w:sz="4" w:space="0" w:color="auto"/>
              <w:right w:val="single" w:sz="4" w:space="0" w:color="auto"/>
            </w:tcBorders>
            <w:hideMark/>
          </w:tcPr>
          <w:p w14:paraId="17F9871D"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18900</w:t>
            </w:r>
          </w:p>
        </w:tc>
        <w:tc>
          <w:tcPr>
            <w:tcW w:w="1398" w:type="dxa"/>
            <w:tcBorders>
              <w:top w:val="single" w:sz="4" w:space="0" w:color="auto"/>
              <w:left w:val="single" w:sz="4" w:space="0" w:color="auto"/>
              <w:bottom w:val="single" w:sz="4" w:space="0" w:color="auto"/>
              <w:right w:val="single" w:sz="4" w:space="0" w:color="auto"/>
            </w:tcBorders>
            <w:hideMark/>
          </w:tcPr>
          <w:p w14:paraId="5AC1271F"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20300</w:t>
            </w:r>
          </w:p>
        </w:tc>
        <w:tc>
          <w:tcPr>
            <w:tcW w:w="1234" w:type="dxa"/>
            <w:tcBorders>
              <w:top w:val="single" w:sz="4" w:space="0" w:color="auto"/>
              <w:left w:val="single" w:sz="4" w:space="0" w:color="auto"/>
              <w:bottom w:val="single" w:sz="4" w:space="0" w:color="auto"/>
              <w:right w:val="single" w:sz="4" w:space="0" w:color="auto"/>
            </w:tcBorders>
            <w:hideMark/>
          </w:tcPr>
          <w:p w14:paraId="3F06A3F5"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21200</w:t>
            </w:r>
          </w:p>
        </w:tc>
      </w:tr>
      <w:tr w:rsidR="00DF5F2B" w:rsidRPr="00C764AC" w14:paraId="74705655" w14:textId="77777777" w:rsidTr="00DF5F2B">
        <w:trPr>
          <w:trHeight w:val="685"/>
        </w:trPr>
        <w:tc>
          <w:tcPr>
            <w:tcW w:w="2541" w:type="dxa"/>
            <w:tcBorders>
              <w:top w:val="single" w:sz="4" w:space="0" w:color="auto"/>
              <w:left w:val="single" w:sz="4" w:space="0" w:color="auto"/>
              <w:bottom w:val="single" w:sz="4" w:space="0" w:color="auto"/>
              <w:right w:val="single" w:sz="4" w:space="0" w:color="auto"/>
            </w:tcBorders>
            <w:hideMark/>
          </w:tcPr>
          <w:p w14:paraId="567D6241" w14:textId="77777777" w:rsidR="00C764AC" w:rsidRPr="00C764AC" w:rsidRDefault="00C764AC" w:rsidP="00DF5F2B">
            <w:pPr>
              <w:contextualSpacing/>
              <w:jc w:val="both"/>
              <w:rPr>
                <w:rFonts w:ascii="Times New Roman" w:hAnsi="Times New Roman" w:cs="Times New Roman"/>
                <w:bCs/>
              </w:rPr>
            </w:pPr>
            <w:r w:rsidRPr="00C764AC">
              <w:rPr>
                <w:rFonts w:ascii="Times New Roman" w:hAnsi="Times New Roman" w:cs="Times New Roman"/>
                <w:bCs/>
              </w:rPr>
              <w:t>Темп зростання фонду оплати праці, %</w:t>
            </w:r>
          </w:p>
        </w:tc>
        <w:tc>
          <w:tcPr>
            <w:tcW w:w="1377" w:type="dxa"/>
            <w:tcBorders>
              <w:top w:val="single" w:sz="4" w:space="0" w:color="auto"/>
              <w:left w:val="single" w:sz="4" w:space="0" w:color="auto"/>
              <w:bottom w:val="single" w:sz="4" w:space="0" w:color="auto"/>
              <w:right w:val="single" w:sz="4" w:space="0" w:color="auto"/>
            </w:tcBorders>
            <w:hideMark/>
          </w:tcPr>
          <w:p w14:paraId="232F2D8F"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123,2</w:t>
            </w:r>
          </w:p>
        </w:tc>
        <w:tc>
          <w:tcPr>
            <w:tcW w:w="1651" w:type="dxa"/>
            <w:tcBorders>
              <w:top w:val="single" w:sz="4" w:space="0" w:color="auto"/>
              <w:left w:val="single" w:sz="4" w:space="0" w:color="auto"/>
              <w:bottom w:val="single" w:sz="4" w:space="0" w:color="auto"/>
              <w:right w:val="single" w:sz="4" w:space="0" w:color="auto"/>
            </w:tcBorders>
            <w:hideMark/>
          </w:tcPr>
          <w:p w14:paraId="63F38789"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113,1</w:t>
            </w:r>
          </w:p>
        </w:tc>
        <w:tc>
          <w:tcPr>
            <w:tcW w:w="1546" w:type="dxa"/>
            <w:tcBorders>
              <w:top w:val="single" w:sz="4" w:space="0" w:color="auto"/>
              <w:left w:val="single" w:sz="4" w:space="0" w:color="auto"/>
              <w:bottom w:val="single" w:sz="4" w:space="0" w:color="auto"/>
              <w:right w:val="single" w:sz="4" w:space="0" w:color="auto"/>
            </w:tcBorders>
            <w:hideMark/>
          </w:tcPr>
          <w:p w14:paraId="10A382A4"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105,0</w:t>
            </w:r>
          </w:p>
        </w:tc>
        <w:tc>
          <w:tcPr>
            <w:tcW w:w="1398" w:type="dxa"/>
            <w:tcBorders>
              <w:top w:val="single" w:sz="4" w:space="0" w:color="auto"/>
              <w:left w:val="single" w:sz="4" w:space="0" w:color="auto"/>
              <w:bottom w:val="single" w:sz="4" w:space="0" w:color="auto"/>
              <w:right w:val="single" w:sz="4" w:space="0" w:color="auto"/>
            </w:tcBorders>
            <w:hideMark/>
          </w:tcPr>
          <w:p w14:paraId="6BD78852"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107,0</w:t>
            </w:r>
          </w:p>
        </w:tc>
        <w:tc>
          <w:tcPr>
            <w:tcW w:w="1234" w:type="dxa"/>
            <w:tcBorders>
              <w:top w:val="single" w:sz="4" w:space="0" w:color="auto"/>
              <w:left w:val="single" w:sz="4" w:space="0" w:color="auto"/>
              <w:bottom w:val="single" w:sz="4" w:space="0" w:color="auto"/>
              <w:right w:val="single" w:sz="4" w:space="0" w:color="auto"/>
            </w:tcBorders>
            <w:hideMark/>
          </w:tcPr>
          <w:p w14:paraId="46959B37"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108,1</w:t>
            </w:r>
          </w:p>
        </w:tc>
      </w:tr>
      <w:tr w:rsidR="00DF5F2B" w:rsidRPr="00C764AC" w14:paraId="3137555D" w14:textId="77777777" w:rsidTr="00DF5F2B">
        <w:trPr>
          <w:trHeight w:val="977"/>
        </w:trPr>
        <w:tc>
          <w:tcPr>
            <w:tcW w:w="2541" w:type="dxa"/>
            <w:tcBorders>
              <w:top w:val="single" w:sz="4" w:space="0" w:color="auto"/>
              <w:left w:val="single" w:sz="4" w:space="0" w:color="auto"/>
              <w:bottom w:val="single" w:sz="4" w:space="0" w:color="auto"/>
              <w:right w:val="single" w:sz="4" w:space="0" w:color="auto"/>
            </w:tcBorders>
            <w:hideMark/>
          </w:tcPr>
          <w:p w14:paraId="14ACF46A" w14:textId="77777777" w:rsidR="00C764AC" w:rsidRPr="00C764AC" w:rsidRDefault="00C764AC" w:rsidP="00DF5F2B">
            <w:pPr>
              <w:contextualSpacing/>
              <w:jc w:val="both"/>
              <w:rPr>
                <w:rFonts w:ascii="Times New Roman" w:hAnsi="Times New Roman" w:cs="Times New Roman"/>
                <w:bCs/>
              </w:rPr>
            </w:pPr>
            <w:r w:rsidRPr="00C764AC">
              <w:rPr>
                <w:rFonts w:ascii="Times New Roman" w:hAnsi="Times New Roman" w:cs="Times New Roman"/>
                <w:bCs/>
              </w:rPr>
              <w:t>Працевлаштування громадян на нові робочі місця, осіб</w:t>
            </w:r>
          </w:p>
        </w:tc>
        <w:tc>
          <w:tcPr>
            <w:tcW w:w="1377" w:type="dxa"/>
            <w:tcBorders>
              <w:top w:val="single" w:sz="4" w:space="0" w:color="auto"/>
              <w:left w:val="single" w:sz="4" w:space="0" w:color="auto"/>
              <w:bottom w:val="single" w:sz="4" w:space="0" w:color="auto"/>
              <w:right w:val="single" w:sz="4" w:space="0" w:color="auto"/>
            </w:tcBorders>
            <w:hideMark/>
          </w:tcPr>
          <w:p w14:paraId="4A2951F6"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212</w:t>
            </w:r>
          </w:p>
        </w:tc>
        <w:tc>
          <w:tcPr>
            <w:tcW w:w="1651" w:type="dxa"/>
            <w:tcBorders>
              <w:top w:val="single" w:sz="4" w:space="0" w:color="auto"/>
              <w:left w:val="single" w:sz="4" w:space="0" w:color="auto"/>
              <w:bottom w:val="single" w:sz="4" w:space="0" w:color="auto"/>
              <w:right w:val="single" w:sz="4" w:space="0" w:color="auto"/>
            </w:tcBorders>
            <w:hideMark/>
          </w:tcPr>
          <w:p w14:paraId="2E3A20D6"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224</w:t>
            </w:r>
          </w:p>
        </w:tc>
        <w:tc>
          <w:tcPr>
            <w:tcW w:w="1546" w:type="dxa"/>
            <w:tcBorders>
              <w:top w:val="single" w:sz="4" w:space="0" w:color="auto"/>
              <w:left w:val="single" w:sz="4" w:space="0" w:color="auto"/>
              <w:bottom w:val="single" w:sz="4" w:space="0" w:color="auto"/>
              <w:right w:val="single" w:sz="4" w:space="0" w:color="auto"/>
            </w:tcBorders>
            <w:hideMark/>
          </w:tcPr>
          <w:p w14:paraId="070A7CC0"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230</w:t>
            </w:r>
          </w:p>
        </w:tc>
        <w:tc>
          <w:tcPr>
            <w:tcW w:w="1398" w:type="dxa"/>
            <w:tcBorders>
              <w:top w:val="single" w:sz="4" w:space="0" w:color="auto"/>
              <w:left w:val="single" w:sz="4" w:space="0" w:color="auto"/>
              <w:bottom w:val="single" w:sz="4" w:space="0" w:color="auto"/>
              <w:right w:val="single" w:sz="4" w:space="0" w:color="auto"/>
            </w:tcBorders>
            <w:hideMark/>
          </w:tcPr>
          <w:p w14:paraId="38607E68"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236</w:t>
            </w:r>
          </w:p>
        </w:tc>
        <w:tc>
          <w:tcPr>
            <w:tcW w:w="1234" w:type="dxa"/>
            <w:tcBorders>
              <w:top w:val="single" w:sz="4" w:space="0" w:color="auto"/>
              <w:left w:val="single" w:sz="4" w:space="0" w:color="auto"/>
              <w:bottom w:val="single" w:sz="4" w:space="0" w:color="auto"/>
              <w:right w:val="single" w:sz="4" w:space="0" w:color="auto"/>
            </w:tcBorders>
            <w:hideMark/>
          </w:tcPr>
          <w:p w14:paraId="68DE3F82" w14:textId="77777777" w:rsidR="00C764AC" w:rsidRPr="00C764AC" w:rsidRDefault="00C764AC" w:rsidP="008077D5">
            <w:pPr>
              <w:contextualSpacing/>
              <w:jc w:val="center"/>
              <w:rPr>
                <w:rFonts w:ascii="Times New Roman" w:hAnsi="Times New Roman" w:cs="Times New Roman"/>
                <w:bCs/>
              </w:rPr>
            </w:pPr>
            <w:r w:rsidRPr="00C764AC">
              <w:rPr>
                <w:rFonts w:ascii="Times New Roman" w:hAnsi="Times New Roman" w:cs="Times New Roman"/>
                <w:bCs/>
              </w:rPr>
              <w:t>242</w:t>
            </w:r>
          </w:p>
        </w:tc>
      </w:tr>
    </w:tbl>
    <w:p w14:paraId="32D2A34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
    <w:p w14:paraId="55CEDA7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Крім того, при здійснені прогнозу бюджету селищної територіальної громади на 2027-2029 роки враховано: </w:t>
      </w:r>
    </w:p>
    <w:p w14:paraId="7BA01B36" w14:textId="77777777" w:rsidR="00C764AC" w:rsidRPr="00C764AC" w:rsidRDefault="00C764AC" w:rsidP="00C764AC">
      <w:pPr>
        <w:spacing w:after="0" w:line="240" w:lineRule="auto"/>
        <w:ind w:firstLine="567"/>
        <w:contextualSpacing/>
        <w:jc w:val="both"/>
        <w:rPr>
          <w:rFonts w:ascii="Times New Roman" w:hAnsi="Times New Roman" w:cs="Times New Roman"/>
          <w:bCs/>
          <w:i/>
          <w:sz w:val="24"/>
          <w:szCs w:val="24"/>
          <w:lang w:val="uk-UA"/>
        </w:rPr>
      </w:pPr>
      <w:r w:rsidRPr="00C764AC">
        <w:rPr>
          <w:rFonts w:ascii="Times New Roman" w:hAnsi="Times New Roman" w:cs="Times New Roman"/>
          <w:bCs/>
          <w:i/>
          <w:sz w:val="24"/>
          <w:szCs w:val="24"/>
          <w:lang w:val="uk-UA"/>
        </w:rPr>
        <w:t>Індекс споживчих цін ( у середньому до попереднього року):</w:t>
      </w:r>
    </w:p>
    <w:p w14:paraId="4840DCD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2027 рік – 109,3%;</w:t>
      </w:r>
    </w:p>
    <w:p w14:paraId="7B65894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2028 рік – 107,5%;</w:t>
      </w:r>
    </w:p>
    <w:p w14:paraId="01518E0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2029 рік – 105,9.</w:t>
      </w:r>
    </w:p>
    <w:p w14:paraId="30C2F6AB" w14:textId="77777777" w:rsidR="00C764AC" w:rsidRPr="00C764AC" w:rsidRDefault="00C764AC" w:rsidP="00C764AC">
      <w:pPr>
        <w:spacing w:after="0" w:line="240" w:lineRule="auto"/>
        <w:ind w:firstLine="567"/>
        <w:contextualSpacing/>
        <w:jc w:val="both"/>
        <w:rPr>
          <w:rFonts w:ascii="Times New Roman" w:hAnsi="Times New Roman" w:cs="Times New Roman"/>
          <w:bCs/>
          <w:i/>
          <w:sz w:val="24"/>
          <w:szCs w:val="24"/>
          <w:lang w:val="uk-UA"/>
        </w:rPr>
      </w:pPr>
    </w:p>
    <w:p w14:paraId="427DBA37" w14:textId="77777777" w:rsidR="00C764AC" w:rsidRPr="00C764AC" w:rsidRDefault="00C764AC" w:rsidP="00C764AC">
      <w:pPr>
        <w:spacing w:after="0" w:line="240" w:lineRule="auto"/>
        <w:ind w:firstLine="567"/>
        <w:contextualSpacing/>
        <w:jc w:val="both"/>
        <w:rPr>
          <w:rFonts w:ascii="Times New Roman" w:hAnsi="Times New Roman" w:cs="Times New Roman"/>
          <w:bCs/>
          <w:i/>
          <w:sz w:val="24"/>
          <w:szCs w:val="24"/>
          <w:lang w:val="uk-UA"/>
        </w:rPr>
      </w:pPr>
      <w:r w:rsidRPr="00C764AC">
        <w:rPr>
          <w:rFonts w:ascii="Times New Roman" w:hAnsi="Times New Roman" w:cs="Times New Roman"/>
          <w:bCs/>
          <w:i/>
          <w:sz w:val="24"/>
          <w:szCs w:val="24"/>
          <w:lang w:val="uk-UA"/>
        </w:rPr>
        <w:t xml:space="preserve">Розмір мінімальної заробітної плати та розмір посадового окладу працівника І тарифного розряду Єдиної тарифної сітки: </w:t>
      </w:r>
    </w:p>
    <w:p w14:paraId="6C5DA8E1" w14:textId="77777777" w:rsidR="00C764AC" w:rsidRPr="00C764AC" w:rsidRDefault="00C764AC" w:rsidP="00C764AC">
      <w:pPr>
        <w:spacing w:after="0" w:line="240" w:lineRule="auto"/>
        <w:ind w:firstLine="567"/>
        <w:contextualSpacing/>
        <w:jc w:val="both"/>
        <w:rPr>
          <w:rFonts w:ascii="Times New Roman" w:hAnsi="Times New Roman" w:cs="Times New Roman"/>
          <w:bCs/>
          <w:i/>
          <w:sz w:val="24"/>
          <w:szCs w:val="24"/>
          <w:lang w:val="uk-UA"/>
        </w:rPr>
      </w:pPr>
    </w:p>
    <w:tbl>
      <w:tblPr>
        <w:tblW w:w="9237" w:type="dxa"/>
        <w:tblInd w:w="93" w:type="dxa"/>
        <w:tblLook w:val="04A0" w:firstRow="1" w:lastRow="0" w:firstColumn="1" w:lastColumn="0" w:noHBand="0" w:noVBand="1"/>
      </w:tblPr>
      <w:tblGrid>
        <w:gridCol w:w="2425"/>
        <w:gridCol w:w="1701"/>
        <w:gridCol w:w="1709"/>
        <w:gridCol w:w="1276"/>
        <w:gridCol w:w="2126"/>
      </w:tblGrid>
      <w:tr w:rsidR="00C764AC" w:rsidRPr="00C764AC" w14:paraId="0A2B1549" w14:textId="77777777" w:rsidTr="008077D5">
        <w:trPr>
          <w:trHeight w:val="720"/>
        </w:trPr>
        <w:tc>
          <w:tcPr>
            <w:tcW w:w="2425" w:type="dxa"/>
            <w:vMerge w:val="restart"/>
            <w:tcBorders>
              <w:top w:val="single" w:sz="4" w:space="0" w:color="auto"/>
              <w:left w:val="single" w:sz="4" w:space="0" w:color="auto"/>
              <w:bottom w:val="single" w:sz="4" w:space="0" w:color="000000"/>
              <w:right w:val="single" w:sz="4" w:space="0" w:color="auto"/>
            </w:tcBorders>
            <w:noWrap/>
            <w:vAlign w:val="bottom"/>
            <w:hideMark/>
          </w:tcPr>
          <w:p w14:paraId="6024C09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w:t>
            </w:r>
          </w:p>
        </w:tc>
        <w:tc>
          <w:tcPr>
            <w:tcW w:w="3410" w:type="dxa"/>
            <w:gridSpan w:val="2"/>
            <w:tcBorders>
              <w:top w:val="single" w:sz="4" w:space="0" w:color="auto"/>
              <w:left w:val="nil"/>
              <w:bottom w:val="single" w:sz="4" w:space="0" w:color="auto"/>
              <w:right w:val="single" w:sz="4" w:space="0" w:color="000000"/>
            </w:tcBorders>
            <w:vAlign w:val="center"/>
            <w:hideMark/>
          </w:tcPr>
          <w:p w14:paraId="7CFE310E"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Мінімальна заробітна плата</w:t>
            </w:r>
          </w:p>
        </w:tc>
        <w:tc>
          <w:tcPr>
            <w:tcW w:w="3402" w:type="dxa"/>
            <w:gridSpan w:val="2"/>
            <w:tcBorders>
              <w:top w:val="single" w:sz="4" w:space="0" w:color="auto"/>
              <w:left w:val="nil"/>
              <w:bottom w:val="single" w:sz="4" w:space="0" w:color="auto"/>
              <w:right w:val="single" w:sz="4" w:space="0" w:color="000000"/>
            </w:tcBorders>
            <w:vAlign w:val="center"/>
            <w:hideMark/>
          </w:tcPr>
          <w:p w14:paraId="3EACE71D" w14:textId="77777777" w:rsidR="00C764AC" w:rsidRPr="00C764AC" w:rsidRDefault="00C764AC" w:rsidP="008077D5">
            <w:pPr>
              <w:spacing w:after="0" w:line="240" w:lineRule="auto"/>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Посадовий оклад працівника І тарифного розряду ЄТС</w:t>
            </w:r>
          </w:p>
        </w:tc>
      </w:tr>
      <w:tr w:rsidR="00C764AC" w:rsidRPr="00C764AC" w14:paraId="0805D5F1" w14:textId="77777777" w:rsidTr="008077D5">
        <w:trPr>
          <w:trHeight w:val="612"/>
        </w:trPr>
        <w:tc>
          <w:tcPr>
            <w:tcW w:w="2425" w:type="dxa"/>
            <w:vMerge/>
            <w:tcBorders>
              <w:top w:val="single" w:sz="4" w:space="0" w:color="auto"/>
              <w:left w:val="single" w:sz="4" w:space="0" w:color="auto"/>
              <w:bottom w:val="single" w:sz="4" w:space="0" w:color="000000"/>
              <w:right w:val="single" w:sz="4" w:space="0" w:color="auto"/>
            </w:tcBorders>
            <w:vAlign w:val="center"/>
            <w:hideMark/>
          </w:tcPr>
          <w:p w14:paraId="31DC4B8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tc>
        <w:tc>
          <w:tcPr>
            <w:tcW w:w="1701" w:type="dxa"/>
            <w:tcBorders>
              <w:top w:val="nil"/>
              <w:left w:val="nil"/>
              <w:bottom w:val="single" w:sz="4" w:space="0" w:color="auto"/>
              <w:right w:val="single" w:sz="4" w:space="0" w:color="auto"/>
            </w:tcBorders>
            <w:vAlign w:val="center"/>
            <w:hideMark/>
          </w:tcPr>
          <w:p w14:paraId="6B49D10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грн</w:t>
            </w:r>
          </w:p>
        </w:tc>
        <w:tc>
          <w:tcPr>
            <w:tcW w:w="1709" w:type="dxa"/>
            <w:tcBorders>
              <w:top w:val="nil"/>
              <w:left w:val="nil"/>
              <w:bottom w:val="single" w:sz="4" w:space="0" w:color="auto"/>
              <w:right w:val="single" w:sz="4" w:space="0" w:color="auto"/>
            </w:tcBorders>
            <w:vAlign w:val="center"/>
            <w:hideMark/>
          </w:tcPr>
          <w:p w14:paraId="09E5F89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темпи приросту,%</w:t>
            </w:r>
          </w:p>
        </w:tc>
        <w:tc>
          <w:tcPr>
            <w:tcW w:w="1276" w:type="dxa"/>
            <w:tcBorders>
              <w:top w:val="nil"/>
              <w:left w:val="nil"/>
              <w:bottom w:val="single" w:sz="4" w:space="0" w:color="auto"/>
              <w:right w:val="single" w:sz="4" w:space="0" w:color="auto"/>
            </w:tcBorders>
            <w:vAlign w:val="center"/>
            <w:hideMark/>
          </w:tcPr>
          <w:p w14:paraId="567E0E3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грн</w:t>
            </w:r>
          </w:p>
        </w:tc>
        <w:tc>
          <w:tcPr>
            <w:tcW w:w="2126" w:type="dxa"/>
            <w:tcBorders>
              <w:top w:val="nil"/>
              <w:left w:val="nil"/>
              <w:bottom w:val="single" w:sz="4" w:space="0" w:color="auto"/>
              <w:right w:val="single" w:sz="4" w:space="0" w:color="auto"/>
            </w:tcBorders>
            <w:vAlign w:val="center"/>
            <w:hideMark/>
          </w:tcPr>
          <w:p w14:paraId="3CF46CF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темпи приросту,%</w:t>
            </w:r>
          </w:p>
        </w:tc>
      </w:tr>
      <w:tr w:rsidR="00C764AC" w:rsidRPr="00C764AC" w14:paraId="6BBA2BCE" w14:textId="77777777" w:rsidTr="008077D5">
        <w:trPr>
          <w:trHeight w:val="345"/>
        </w:trPr>
        <w:tc>
          <w:tcPr>
            <w:tcW w:w="2425" w:type="dxa"/>
            <w:tcBorders>
              <w:top w:val="nil"/>
              <w:left w:val="single" w:sz="4" w:space="0" w:color="auto"/>
              <w:bottom w:val="single" w:sz="4" w:space="0" w:color="auto"/>
              <w:right w:val="single" w:sz="4" w:space="0" w:color="auto"/>
            </w:tcBorders>
            <w:noWrap/>
            <w:vAlign w:val="bottom"/>
            <w:hideMark/>
          </w:tcPr>
          <w:p w14:paraId="62ED4295" w14:textId="77777777" w:rsidR="00C764AC" w:rsidRPr="00C764AC" w:rsidRDefault="00C764AC" w:rsidP="00C764AC">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 01 січня 2027 року</w:t>
            </w:r>
          </w:p>
        </w:tc>
        <w:tc>
          <w:tcPr>
            <w:tcW w:w="1701" w:type="dxa"/>
            <w:tcBorders>
              <w:top w:val="nil"/>
              <w:left w:val="nil"/>
              <w:bottom w:val="single" w:sz="4" w:space="0" w:color="auto"/>
              <w:right w:val="single" w:sz="4" w:space="0" w:color="auto"/>
            </w:tcBorders>
            <w:noWrap/>
            <w:vAlign w:val="bottom"/>
            <w:hideMark/>
          </w:tcPr>
          <w:p w14:paraId="43204BA2"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9546</w:t>
            </w:r>
          </w:p>
        </w:tc>
        <w:tc>
          <w:tcPr>
            <w:tcW w:w="1709" w:type="dxa"/>
            <w:tcBorders>
              <w:top w:val="nil"/>
              <w:left w:val="nil"/>
              <w:bottom w:val="single" w:sz="4" w:space="0" w:color="auto"/>
              <w:right w:val="single" w:sz="4" w:space="0" w:color="auto"/>
            </w:tcBorders>
            <w:noWrap/>
            <w:vAlign w:val="bottom"/>
            <w:hideMark/>
          </w:tcPr>
          <w:p w14:paraId="49026935"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10,4</w:t>
            </w:r>
          </w:p>
        </w:tc>
        <w:tc>
          <w:tcPr>
            <w:tcW w:w="1276" w:type="dxa"/>
            <w:tcBorders>
              <w:top w:val="nil"/>
              <w:left w:val="nil"/>
              <w:bottom w:val="single" w:sz="4" w:space="0" w:color="auto"/>
              <w:right w:val="single" w:sz="4" w:space="0" w:color="auto"/>
            </w:tcBorders>
            <w:noWrap/>
            <w:vAlign w:val="bottom"/>
            <w:hideMark/>
          </w:tcPr>
          <w:p w14:paraId="7C8AEA8B"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3819</w:t>
            </w:r>
          </w:p>
        </w:tc>
        <w:tc>
          <w:tcPr>
            <w:tcW w:w="2126" w:type="dxa"/>
            <w:tcBorders>
              <w:top w:val="nil"/>
              <w:left w:val="nil"/>
              <w:bottom w:val="single" w:sz="4" w:space="0" w:color="auto"/>
              <w:right w:val="single" w:sz="4" w:space="0" w:color="auto"/>
            </w:tcBorders>
            <w:noWrap/>
            <w:vAlign w:val="bottom"/>
            <w:hideMark/>
          </w:tcPr>
          <w:p w14:paraId="7854E3F5"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10,1</w:t>
            </w:r>
          </w:p>
        </w:tc>
      </w:tr>
      <w:tr w:rsidR="00C764AC" w:rsidRPr="00C764AC" w14:paraId="208790B4" w14:textId="77777777" w:rsidTr="008077D5">
        <w:trPr>
          <w:trHeight w:val="345"/>
        </w:trPr>
        <w:tc>
          <w:tcPr>
            <w:tcW w:w="2425" w:type="dxa"/>
            <w:tcBorders>
              <w:top w:val="nil"/>
              <w:left w:val="single" w:sz="4" w:space="0" w:color="auto"/>
              <w:bottom w:val="single" w:sz="4" w:space="0" w:color="auto"/>
              <w:right w:val="single" w:sz="4" w:space="0" w:color="auto"/>
            </w:tcBorders>
            <w:noWrap/>
            <w:vAlign w:val="bottom"/>
            <w:hideMark/>
          </w:tcPr>
          <w:p w14:paraId="602F7D23" w14:textId="77777777" w:rsidR="00C764AC" w:rsidRPr="00C764AC" w:rsidRDefault="00C764AC" w:rsidP="00C764AC">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 01 січня 2028 року</w:t>
            </w:r>
          </w:p>
        </w:tc>
        <w:tc>
          <w:tcPr>
            <w:tcW w:w="1701" w:type="dxa"/>
            <w:tcBorders>
              <w:top w:val="nil"/>
              <w:left w:val="nil"/>
              <w:bottom w:val="single" w:sz="4" w:space="0" w:color="auto"/>
              <w:right w:val="single" w:sz="4" w:space="0" w:color="auto"/>
            </w:tcBorders>
            <w:noWrap/>
            <w:vAlign w:val="bottom"/>
            <w:hideMark/>
          </w:tcPr>
          <w:p w14:paraId="18E098EF"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10377</w:t>
            </w:r>
          </w:p>
        </w:tc>
        <w:tc>
          <w:tcPr>
            <w:tcW w:w="1709" w:type="dxa"/>
            <w:tcBorders>
              <w:top w:val="nil"/>
              <w:left w:val="nil"/>
              <w:bottom w:val="single" w:sz="4" w:space="0" w:color="auto"/>
              <w:right w:val="single" w:sz="4" w:space="0" w:color="auto"/>
            </w:tcBorders>
            <w:noWrap/>
            <w:vAlign w:val="bottom"/>
            <w:hideMark/>
          </w:tcPr>
          <w:p w14:paraId="7B57CDE8"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8,7</w:t>
            </w:r>
          </w:p>
        </w:tc>
        <w:tc>
          <w:tcPr>
            <w:tcW w:w="1276" w:type="dxa"/>
            <w:tcBorders>
              <w:top w:val="nil"/>
              <w:left w:val="nil"/>
              <w:bottom w:val="single" w:sz="4" w:space="0" w:color="auto"/>
              <w:right w:val="single" w:sz="4" w:space="0" w:color="auto"/>
            </w:tcBorders>
            <w:noWrap/>
            <w:vAlign w:val="bottom"/>
            <w:hideMark/>
          </w:tcPr>
          <w:p w14:paraId="72832940"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4151</w:t>
            </w:r>
          </w:p>
        </w:tc>
        <w:tc>
          <w:tcPr>
            <w:tcW w:w="2126" w:type="dxa"/>
            <w:tcBorders>
              <w:top w:val="nil"/>
              <w:left w:val="nil"/>
              <w:bottom w:val="single" w:sz="4" w:space="0" w:color="auto"/>
              <w:right w:val="single" w:sz="4" w:space="0" w:color="auto"/>
            </w:tcBorders>
            <w:noWrap/>
            <w:vAlign w:val="bottom"/>
            <w:hideMark/>
          </w:tcPr>
          <w:p w14:paraId="2CD272B7"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8,6</w:t>
            </w:r>
          </w:p>
        </w:tc>
      </w:tr>
      <w:tr w:rsidR="00C764AC" w:rsidRPr="00C764AC" w14:paraId="0347F2DC" w14:textId="77777777" w:rsidTr="008077D5">
        <w:trPr>
          <w:trHeight w:val="345"/>
        </w:trPr>
        <w:tc>
          <w:tcPr>
            <w:tcW w:w="2425" w:type="dxa"/>
            <w:tcBorders>
              <w:top w:val="nil"/>
              <w:left w:val="single" w:sz="4" w:space="0" w:color="auto"/>
              <w:bottom w:val="single" w:sz="4" w:space="0" w:color="auto"/>
              <w:right w:val="single" w:sz="4" w:space="0" w:color="auto"/>
            </w:tcBorders>
            <w:noWrap/>
            <w:vAlign w:val="bottom"/>
            <w:hideMark/>
          </w:tcPr>
          <w:p w14:paraId="0BC7020A" w14:textId="77777777" w:rsidR="00C764AC" w:rsidRPr="00C764AC" w:rsidRDefault="00C764AC" w:rsidP="00C764AC">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 01 січня 2029 року</w:t>
            </w:r>
          </w:p>
        </w:tc>
        <w:tc>
          <w:tcPr>
            <w:tcW w:w="1701" w:type="dxa"/>
            <w:tcBorders>
              <w:top w:val="nil"/>
              <w:left w:val="nil"/>
              <w:bottom w:val="single" w:sz="4" w:space="0" w:color="auto"/>
              <w:right w:val="single" w:sz="4" w:space="0" w:color="auto"/>
            </w:tcBorders>
            <w:noWrap/>
            <w:vAlign w:val="bottom"/>
            <w:hideMark/>
          </w:tcPr>
          <w:p w14:paraId="6CA5F965"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11114</w:t>
            </w:r>
          </w:p>
        </w:tc>
        <w:tc>
          <w:tcPr>
            <w:tcW w:w="1709" w:type="dxa"/>
            <w:tcBorders>
              <w:top w:val="nil"/>
              <w:left w:val="nil"/>
              <w:bottom w:val="single" w:sz="4" w:space="0" w:color="auto"/>
              <w:right w:val="single" w:sz="4" w:space="0" w:color="auto"/>
            </w:tcBorders>
            <w:noWrap/>
            <w:vAlign w:val="bottom"/>
            <w:hideMark/>
          </w:tcPr>
          <w:p w14:paraId="365D87A3"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7,1</w:t>
            </w:r>
          </w:p>
        </w:tc>
        <w:tc>
          <w:tcPr>
            <w:tcW w:w="1276" w:type="dxa"/>
            <w:tcBorders>
              <w:top w:val="nil"/>
              <w:left w:val="nil"/>
              <w:bottom w:val="single" w:sz="4" w:space="0" w:color="auto"/>
              <w:right w:val="single" w:sz="4" w:space="0" w:color="auto"/>
            </w:tcBorders>
            <w:noWrap/>
            <w:vAlign w:val="bottom"/>
            <w:hideMark/>
          </w:tcPr>
          <w:p w14:paraId="3D293A14"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4446</w:t>
            </w:r>
          </w:p>
        </w:tc>
        <w:tc>
          <w:tcPr>
            <w:tcW w:w="2126" w:type="dxa"/>
            <w:tcBorders>
              <w:top w:val="nil"/>
              <w:left w:val="nil"/>
              <w:bottom w:val="single" w:sz="4" w:space="0" w:color="auto"/>
              <w:right w:val="single" w:sz="4" w:space="0" w:color="auto"/>
            </w:tcBorders>
            <w:noWrap/>
            <w:vAlign w:val="bottom"/>
            <w:hideMark/>
          </w:tcPr>
          <w:p w14:paraId="71A5DE24"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7,1</w:t>
            </w:r>
          </w:p>
        </w:tc>
      </w:tr>
    </w:tbl>
    <w:p w14:paraId="7A3C850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7EC997E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i/>
          <w:sz w:val="24"/>
          <w:szCs w:val="24"/>
          <w:lang w:val="uk-UA"/>
        </w:rPr>
        <w:t>Прожитковий мінімум на 2027-2029 роки</w:t>
      </w:r>
      <w:r w:rsidRPr="00C764AC">
        <w:rPr>
          <w:rFonts w:ascii="Times New Roman" w:hAnsi="Times New Roman" w:cs="Times New Roman"/>
          <w:bCs/>
          <w:sz w:val="24"/>
          <w:szCs w:val="24"/>
          <w:lang w:val="uk-UA"/>
        </w:rPr>
        <w:t>:</w:t>
      </w:r>
    </w:p>
    <w:tbl>
      <w:tblPr>
        <w:tblW w:w="86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1134"/>
        <w:gridCol w:w="1308"/>
        <w:gridCol w:w="1276"/>
      </w:tblGrid>
      <w:tr w:rsidR="00C764AC" w:rsidRPr="00C764AC" w14:paraId="68424B63" w14:textId="77777777" w:rsidTr="00C764AC">
        <w:trPr>
          <w:trHeight w:val="311"/>
        </w:trPr>
        <w:tc>
          <w:tcPr>
            <w:tcW w:w="4977" w:type="dxa"/>
            <w:tcBorders>
              <w:top w:val="single" w:sz="4" w:space="0" w:color="auto"/>
              <w:left w:val="single" w:sz="4" w:space="0" w:color="auto"/>
              <w:bottom w:val="single" w:sz="4" w:space="0" w:color="auto"/>
              <w:right w:val="single" w:sz="4" w:space="0" w:color="auto"/>
            </w:tcBorders>
            <w:vAlign w:val="center"/>
            <w:hideMark/>
          </w:tcPr>
          <w:p w14:paraId="16D612E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D9EE2A2"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2027 рік</w:t>
            </w:r>
          </w:p>
        </w:tc>
        <w:tc>
          <w:tcPr>
            <w:tcW w:w="1308" w:type="dxa"/>
            <w:tcBorders>
              <w:top w:val="single" w:sz="4" w:space="0" w:color="auto"/>
              <w:left w:val="single" w:sz="4" w:space="0" w:color="auto"/>
              <w:bottom w:val="single" w:sz="4" w:space="0" w:color="auto"/>
              <w:right w:val="single" w:sz="4" w:space="0" w:color="auto"/>
            </w:tcBorders>
            <w:vAlign w:val="center"/>
            <w:hideMark/>
          </w:tcPr>
          <w:p w14:paraId="436930BA"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2028 рік</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7F1B2D"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2029 рік</w:t>
            </w:r>
          </w:p>
        </w:tc>
      </w:tr>
      <w:tr w:rsidR="00C764AC" w:rsidRPr="00C764AC" w14:paraId="0D09C628" w14:textId="77777777" w:rsidTr="00C764AC">
        <w:trPr>
          <w:trHeight w:val="373"/>
        </w:trPr>
        <w:tc>
          <w:tcPr>
            <w:tcW w:w="4977" w:type="dxa"/>
            <w:tcBorders>
              <w:top w:val="single" w:sz="4" w:space="0" w:color="auto"/>
              <w:left w:val="single" w:sz="4" w:space="0" w:color="auto"/>
              <w:bottom w:val="single" w:sz="4" w:space="0" w:color="auto"/>
              <w:right w:val="single" w:sz="4" w:space="0" w:color="auto"/>
            </w:tcBorders>
            <w:vAlign w:val="center"/>
            <w:hideMark/>
          </w:tcPr>
          <w:p w14:paraId="5252FE17" w14:textId="77777777" w:rsidR="00C764AC" w:rsidRPr="00C764AC" w:rsidRDefault="00C764AC" w:rsidP="00AC1F83">
            <w:pPr>
              <w:spacing w:after="0" w:line="240" w:lineRule="auto"/>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Прожитковий мінімум, грн: на одну особу</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4EA8C20"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3559</w:t>
            </w:r>
          </w:p>
        </w:tc>
        <w:tc>
          <w:tcPr>
            <w:tcW w:w="1308" w:type="dxa"/>
            <w:tcBorders>
              <w:top w:val="single" w:sz="4" w:space="0" w:color="auto"/>
              <w:left w:val="single" w:sz="4" w:space="0" w:color="auto"/>
              <w:bottom w:val="single" w:sz="4" w:space="0" w:color="auto"/>
              <w:right w:val="single" w:sz="4" w:space="0" w:color="auto"/>
            </w:tcBorders>
            <w:noWrap/>
            <w:vAlign w:val="bottom"/>
            <w:hideMark/>
          </w:tcPr>
          <w:p w14:paraId="450E8450"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3876</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8F6BEFD"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4151</w:t>
            </w:r>
          </w:p>
        </w:tc>
      </w:tr>
      <w:tr w:rsidR="00C764AC" w:rsidRPr="00C764AC" w14:paraId="6CE8303E" w14:textId="77777777" w:rsidTr="00C764AC">
        <w:trPr>
          <w:trHeight w:val="375"/>
        </w:trPr>
        <w:tc>
          <w:tcPr>
            <w:tcW w:w="4977" w:type="dxa"/>
            <w:tcBorders>
              <w:top w:val="single" w:sz="4" w:space="0" w:color="auto"/>
              <w:left w:val="single" w:sz="4" w:space="0" w:color="auto"/>
              <w:bottom w:val="single" w:sz="4" w:space="0" w:color="auto"/>
              <w:right w:val="single" w:sz="4" w:space="0" w:color="auto"/>
            </w:tcBorders>
            <w:vAlign w:val="center"/>
            <w:hideMark/>
          </w:tcPr>
          <w:p w14:paraId="4B03A2A1" w14:textId="77777777" w:rsidR="00C764AC" w:rsidRPr="00C764AC" w:rsidRDefault="00C764AC" w:rsidP="00AC1F83">
            <w:pPr>
              <w:spacing w:after="0" w:line="240" w:lineRule="auto"/>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для дітей віком до 6 років</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582D9DF"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3124</w:t>
            </w:r>
          </w:p>
        </w:tc>
        <w:tc>
          <w:tcPr>
            <w:tcW w:w="1308" w:type="dxa"/>
            <w:tcBorders>
              <w:top w:val="single" w:sz="4" w:space="0" w:color="auto"/>
              <w:left w:val="single" w:sz="4" w:space="0" w:color="auto"/>
              <w:bottom w:val="single" w:sz="4" w:space="0" w:color="auto"/>
              <w:right w:val="single" w:sz="4" w:space="0" w:color="auto"/>
            </w:tcBorders>
            <w:noWrap/>
            <w:vAlign w:val="bottom"/>
            <w:hideMark/>
          </w:tcPr>
          <w:p w14:paraId="67ED229E"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3402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F55E2BD"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3644</w:t>
            </w:r>
          </w:p>
        </w:tc>
      </w:tr>
      <w:tr w:rsidR="00C764AC" w:rsidRPr="00C764AC" w14:paraId="33D3EA7F" w14:textId="77777777" w:rsidTr="00C764AC">
        <w:trPr>
          <w:trHeight w:val="375"/>
        </w:trPr>
        <w:tc>
          <w:tcPr>
            <w:tcW w:w="4977" w:type="dxa"/>
            <w:tcBorders>
              <w:top w:val="single" w:sz="4" w:space="0" w:color="auto"/>
              <w:left w:val="single" w:sz="4" w:space="0" w:color="auto"/>
              <w:bottom w:val="single" w:sz="4" w:space="0" w:color="auto"/>
              <w:right w:val="single" w:sz="4" w:space="0" w:color="auto"/>
            </w:tcBorders>
            <w:vAlign w:val="center"/>
            <w:hideMark/>
          </w:tcPr>
          <w:p w14:paraId="228FB495" w14:textId="77777777" w:rsidR="00C764AC" w:rsidRPr="00C764AC" w:rsidRDefault="00C764AC" w:rsidP="00AC1F83">
            <w:pPr>
              <w:spacing w:after="0" w:line="240" w:lineRule="auto"/>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для дітей віком від 6 до 18 років</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E0F8DEB"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3895</w:t>
            </w:r>
          </w:p>
        </w:tc>
        <w:tc>
          <w:tcPr>
            <w:tcW w:w="1308" w:type="dxa"/>
            <w:tcBorders>
              <w:top w:val="single" w:sz="4" w:space="0" w:color="auto"/>
              <w:left w:val="single" w:sz="4" w:space="0" w:color="auto"/>
              <w:bottom w:val="single" w:sz="4" w:space="0" w:color="auto"/>
              <w:right w:val="single" w:sz="4" w:space="0" w:color="auto"/>
            </w:tcBorders>
            <w:noWrap/>
            <w:vAlign w:val="bottom"/>
            <w:hideMark/>
          </w:tcPr>
          <w:p w14:paraId="35C46FC0"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4242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BFFEA7F"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4543</w:t>
            </w:r>
          </w:p>
        </w:tc>
      </w:tr>
      <w:tr w:rsidR="00C764AC" w:rsidRPr="00C764AC" w14:paraId="7C9E584F" w14:textId="77777777" w:rsidTr="00C764AC">
        <w:trPr>
          <w:trHeight w:val="375"/>
        </w:trPr>
        <w:tc>
          <w:tcPr>
            <w:tcW w:w="4977" w:type="dxa"/>
            <w:tcBorders>
              <w:top w:val="single" w:sz="4" w:space="0" w:color="auto"/>
              <w:left w:val="single" w:sz="4" w:space="0" w:color="auto"/>
              <w:bottom w:val="single" w:sz="4" w:space="0" w:color="auto"/>
              <w:right w:val="single" w:sz="4" w:space="0" w:color="auto"/>
            </w:tcBorders>
            <w:vAlign w:val="center"/>
            <w:hideMark/>
          </w:tcPr>
          <w:p w14:paraId="63D7D43D" w14:textId="77777777" w:rsidR="00C764AC" w:rsidRPr="00C764AC" w:rsidRDefault="00C764AC" w:rsidP="00AC1F83">
            <w:pPr>
              <w:spacing w:after="0" w:line="240" w:lineRule="auto"/>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для працездатних осіб</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9F61AA6"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3691</w:t>
            </w:r>
          </w:p>
        </w:tc>
        <w:tc>
          <w:tcPr>
            <w:tcW w:w="1308" w:type="dxa"/>
            <w:tcBorders>
              <w:top w:val="single" w:sz="4" w:space="0" w:color="auto"/>
              <w:left w:val="single" w:sz="4" w:space="0" w:color="auto"/>
              <w:bottom w:val="single" w:sz="4" w:space="0" w:color="auto"/>
              <w:right w:val="single" w:sz="4" w:space="0" w:color="auto"/>
            </w:tcBorders>
            <w:noWrap/>
            <w:vAlign w:val="bottom"/>
            <w:hideMark/>
          </w:tcPr>
          <w:p w14:paraId="21694120"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4019</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F434E7"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4304</w:t>
            </w:r>
          </w:p>
        </w:tc>
      </w:tr>
      <w:tr w:rsidR="00C764AC" w:rsidRPr="00C764AC" w14:paraId="24D559E9" w14:textId="77777777" w:rsidTr="00C764AC">
        <w:trPr>
          <w:trHeight w:val="438"/>
        </w:trPr>
        <w:tc>
          <w:tcPr>
            <w:tcW w:w="4977" w:type="dxa"/>
            <w:tcBorders>
              <w:top w:val="single" w:sz="4" w:space="0" w:color="auto"/>
              <w:left w:val="single" w:sz="4" w:space="0" w:color="auto"/>
              <w:bottom w:val="single" w:sz="4" w:space="0" w:color="auto"/>
              <w:right w:val="single" w:sz="4" w:space="0" w:color="auto"/>
            </w:tcBorders>
            <w:vAlign w:val="center"/>
            <w:hideMark/>
          </w:tcPr>
          <w:p w14:paraId="61AEB918" w14:textId="77777777" w:rsidR="00C764AC" w:rsidRPr="00C764AC" w:rsidRDefault="00C764AC" w:rsidP="00AC1F83">
            <w:pPr>
              <w:spacing w:after="0" w:line="240" w:lineRule="auto"/>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для осіб, що втратили працездатність</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6FFCB3A"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2878</w:t>
            </w:r>
          </w:p>
        </w:tc>
        <w:tc>
          <w:tcPr>
            <w:tcW w:w="1308" w:type="dxa"/>
            <w:tcBorders>
              <w:top w:val="single" w:sz="4" w:space="0" w:color="auto"/>
              <w:left w:val="single" w:sz="4" w:space="0" w:color="auto"/>
              <w:bottom w:val="single" w:sz="4" w:space="0" w:color="auto"/>
              <w:right w:val="single" w:sz="4" w:space="0" w:color="auto"/>
            </w:tcBorders>
            <w:noWrap/>
            <w:vAlign w:val="bottom"/>
            <w:hideMark/>
          </w:tcPr>
          <w:p w14:paraId="1E242D10"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3134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E1931B" w14:textId="77777777" w:rsidR="00C764AC" w:rsidRPr="00C764AC" w:rsidRDefault="00C764AC" w:rsidP="00AC1F83">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3357</w:t>
            </w:r>
          </w:p>
        </w:tc>
      </w:tr>
    </w:tbl>
    <w:p w14:paraId="27E7171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6ECEDEBB" w14:textId="77777777" w:rsidR="00C764AC" w:rsidRDefault="00C764AC" w:rsidP="00770A1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ІІІ. Загальні показники бюджету</w:t>
      </w:r>
    </w:p>
    <w:p w14:paraId="41B7B05E" w14:textId="77777777" w:rsidR="00770A1C" w:rsidRPr="00C764AC" w:rsidRDefault="00770A1C" w:rsidP="00770A1C">
      <w:pPr>
        <w:spacing w:after="0" w:line="240" w:lineRule="auto"/>
        <w:ind w:firstLine="567"/>
        <w:contextualSpacing/>
        <w:jc w:val="center"/>
        <w:rPr>
          <w:rFonts w:ascii="Times New Roman" w:hAnsi="Times New Roman" w:cs="Times New Roman"/>
          <w:b/>
          <w:sz w:val="24"/>
          <w:szCs w:val="24"/>
          <w:lang w:val="uk-UA"/>
        </w:rPr>
      </w:pPr>
    </w:p>
    <w:p w14:paraId="1143948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Прогноз бюджету на 2027-2029 роки включає прогнозні показники бюджету громади за основними видами доходів, фінансування, видатків і кредитування, міжбюджетних трансфертів, а також обсягу публічних інвестицій на підготовку та реалізацію публічних інвестиційних </w:t>
      </w:r>
      <w:proofErr w:type="spellStart"/>
      <w:r w:rsidRPr="00C764AC">
        <w:rPr>
          <w:rFonts w:ascii="Times New Roman" w:hAnsi="Times New Roman" w:cs="Times New Roman"/>
          <w:bCs/>
          <w:sz w:val="24"/>
          <w:szCs w:val="24"/>
          <w:lang w:val="uk-UA"/>
        </w:rPr>
        <w:t>проєктів</w:t>
      </w:r>
      <w:proofErr w:type="spellEnd"/>
      <w:r w:rsidRPr="00C764AC">
        <w:rPr>
          <w:rFonts w:ascii="Times New Roman" w:hAnsi="Times New Roman" w:cs="Times New Roman"/>
          <w:bCs/>
          <w:sz w:val="24"/>
          <w:szCs w:val="24"/>
          <w:lang w:val="uk-UA"/>
        </w:rPr>
        <w:t xml:space="preserve"> та програм публічних інвестицій з урахуванням середньострокового плану пріоритетних публічних інвестицій територіальної громади, взаємовідносини бюджету селищної територіальної громади з бюджетами інших рівнів.</w:t>
      </w:r>
    </w:p>
    <w:p w14:paraId="68A6151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Формування прогнозу бюджету на відповідний рік здійснюватиметься з урахуванням змін основних прогнозних показників економічного і соціального розвитку країни та територіальної громади, а також змін у нормативно-правовій базі.</w:t>
      </w:r>
    </w:p>
    <w:p w14:paraId="46853FC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Прогнозні показники бюджету збалансовані за надходженнями та витратами і визначені з урахуванням </w:t>
      </w:r>
      <w:proofErr w:type="spellStart"/>
      <w:r w:rsidRPr="00C764AC">
        <w:rPr>
          <w:rFonts w:ascii="Times New Roman" w:hAnsi="Times New Roman" w:cs="Times New Roman"/>
          <w:bCs/>
          <w:sz w:val="24"/>
          <w:szCs w:val="24"/>
          <w:lang w:val="uk-UA"/>
        </w:rPr>
        <w:t>макропоказників</w:t>
      </w:r>
      <w:proofErr w:type="spellEnd"/>
      <w:r w:rsidRPr="00C764AC">
        <w:rPr>
          <w:rFonts w:ascii="Times New Roman" w:hAnsi="Times New Roman" w:cs="Times New Roman"/>
          <w:bCs/>
          <w:sz w:val="24"/>
          <w:szCs w:val="24"/>
          <w:lang w:val="uk-UA"/>
        </w:rPr>
        <w:t>, що на даний час відображають найбільш вірогідний сценарій розвитку економіки з урахуванням поточної економічної ситуації.</w:t>
      </w:r>
    </w:p>
    <w:p w14:paraId="00ED406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Також враховані показники доходів, визначені прогнозом бюджету Петрівської селищної територіальної громади, схваленому у попередньому бюджетному періоді. Відхилення показників прогнозу на 2027-2029 роки від показників, визначених на відповідні бюджетні періоди прогнозом, схваленим у попередньому бюджетному періоді, пояснюється прогнозним ростом соціальних стандартів (мінімальна заробітна плата, прожитковий мінімум), які враховуються при прогнозному розрахунку податків і зборів.</w:t>
      </w:r>
    </w:p>
    <w:p w14:paraId="28CCEB0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Загальні показники надходжень до бюджету та граничні показники видатків бюджету та надання кредитів з бюджету у розрізі років середньострокового періоду наведено у додатку 1 до </w:t>
      </w:r>
      <w:proofErr w:type="spellStart"/>
      <w:r w:rsidRPr="00C764AC">
        <w:rPr>
          <w:rFonts w:ascii="Times New Roman" w:hAnsi="Times New Roman" w:cs="Times New Roman"/>
          <w:bCs/>
          <w:sz w:val="24"/>
          <w:szCs w:val="24"/>
          <w:lang w:val="uk-UA"/>
        </w:rPr>
        <w:t>проєкту</w:t>
      </w:r>
      <w:proofErr w:type="spellEnd"/>
      <w:r w:rsidRPr="00C764AC">
        <w:rPr>
          <w:rFonts w:ascii="Times New Roman" w:hAnsi="Times New Roman" w:cs="Times New Roman"/>
          <w:bCs/>
          <w:sz w:val="24"/>
          <w:szCs w:val="24"/>
          <w:lang w:val="uk-UA"/>
        </w:rPr>
        <w:t xml:space="preserve"> прогнозу бюджету.</w:t>
      </w:r>
    </w:p>
    <w:p w14:paraId="5861B1E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36F1E283" w14:textId="77777777" w:rsidR="00C764AC" w:rsidRDefault="00C764AC" w:rsidP="00770A1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en-US"/>
        </w:rPr>
        <w:t>IV</w:t>
      </w:r>
      <w:r w:rsidRPr="00C764AC">
        <w:rPr>
          <w:rFonts w:ascii="Times New Roman" w:hAnsi="Times New Roman" w:cs="Times New Roman"/>
          <w:b/>
          <w:sz w:val="24"/>
          <w:szCs w:val="24"/>
          <w:lang w:val="uk-UA"/>
        </w:rPr>
        <w:t>. Показники доходів бюджету</w:t>
      </w:r>
    </w:p>
    <w:p w14:paraId="790C252D" w14:textId="77777777" w:rsidR="00770A1C" w:rsidRPr="00C764AC" w:rsidRDefault="00770A1C" w:rsidP="00770A1C">
      <w:pPr>
        <w:spacing w:after="0" w:line="240" w:lineRule="auto"/>
        <w:ind w:firstLine="567"/>
        <w:contextualSpacing/>
        <w:jc w:val="center"/>
        <w:rPr>
          <w:rFonts w:ascii="Times New Roman" w:hAnsi="Times New Roman" w:cs="Times New Roman"/>
          <w:bCs/>
          <w:sz w:val="24"/>
          <w:szCs w:val="24"/>
          <w:lang w:val="uk-UA"/>
        </w:rPr>
      </w:pPr>
    </w:p>
    <w:p w14:paraId="788B8E9B" w14:textId="794B4959"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показники бюджету збалансовані за надходженнями та витратами і визначені з урахуванням показників, що на даний час відображають найбільш вірогідний сценарій розвитку економіки з урахуванням поточної економічної ситуації, а також враховувалися визначені Бюджетною декларацією на 2027-2029 роки.</w:t>
      </w:r>
    </w:p>
    <w:p w14:paraId="1CEADA67" w14:textId="5849CF2C"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показники дохідної частини бюджету Петрівської селищної територіальної громади на 2027-2029 роки розраховано на основі даних податкового органу та з урахуванням чинних норм податкового та бюджетного законодавства, макроекономічних показників економічного та соціального розвитку країни та громади, показників державних соціальних стандартів, рішень селищної ради про встановлення місцевих податків і зборів та їх ставок, із застосуванням відповідних нормативів зарахування податків, визначених Бюджетною декларацією на 2027-2029 роки, схвалено постановою Кабінету Міністрів України від 17 червня 2026 року №</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 xml:space="preserve">793, а також поточного виконання бюджету громади, у тому числі підвищення розміру прожиткового мінімуму, мінімальної заробітної плати та посадового окладу (тарифної ставки) працівника І тарифного розряду Єдиної тарифної сітки. </w:t>
      </w:r>
    </w:p>
    <w:p w14:paraId="78C9724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Показники доходів бюджету громади наведені у додатку 2 до Прогнозу бюджету Петрівської селищної територіальної громади на 2027-2029 роки.</w:t>
      </w:r>
    </w:p>
    <w:p w14:paraId="6331742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При прогнозуванні обсягу доходів Петрівської селищної територіальної громади на 2027-2029 роки враховано:</w:t>
      </w:r>
    </w:p>
    <w:p w14:paraId="7B426AF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фактичне виконання дохідної частини бюджету громади за 2025 рік;</w:t>
      </w:r>
    </w:p>
    <w:p w14:paraId="3E0E5B4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фактичне виконання дохідної частини бюджету громади за перше півріччя 2026 року станом на 01 липня 2026 року та очікуване виконання річних планових у 2026 році;</w:t>
      </w:r>
    </w:p>
    <w:p w14:paraId="47D15D3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застосування чинних ставок податків та зборів та відновлення зарахування до державного бюджету податку на доходи фізичних осіб у розмірі 4%, які тимчасово спрямовувалися до загального фонду бюджету селищної територіальної громади;</w:t>
      </w:r>
    </w:p>
    <w:p w14:paraId="45F28C7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застосування індексу споживчих цін, що використовується для визначення коефіцієнта індексації нормативної грошової оцінки землі;</w:t>
      </w:r>
    </w:p>
    <w:p w14:paraId="050421A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поступове наближення ставок акцизного податку на тютюнові вироби та пальне до рівня, передбаченого директивами ЄС;</w:t>
      </w:r>
    </w:p>
    <w:p w14:paraId="0A8CBF4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застосування ставок місцевих податків та зборів, встановлених рішеннями Петрівської селищної ради;</w:t>
      </w:r>
    </w:p>
    <w:p w14:paraId="5492703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шляхом передачі трансфертів.</w:t>
      </w:r>
    </w:p>
    <w:p w14:paraId="10E8BA84" w14:textId="5D69AF99"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Обсяг реверсної дотації згідно з розрахунками Міністерства фінансів України передбачається на 2027 рік у сумі 14348,2 тис.</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2028 рік – 17170,0 тис.</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2029 рік – 19819,7 тис.</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w:t>
      </w:r>
    </w:p>
    <w:p w14:paraId="4B481213"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Пріоритетними завданнями податкової політики в середньостроковому періоді є:</w:t>
      </w:r>
    </w:p>
    <w:p w14:paraId="26EA3E9E"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стабільних надходжень податків та зборів до бюджету селищної громади;</w:t>
      </w:r>
    </w:p>
    <w:p w14:paraId="0370F377"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розширення бази оподаткування;</w:t>
      </w:r>
    </w:p>
    <w:p w14:paraId="1F38DB53"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підвищення ефективності податкового адміністрування, у тому числі місцевих податків і зборів;</w:t>
      </w:r>
    </w:p>
    <w:p w14:paraId="6342B061"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зменшення податкового боргу та недопущення виникнення нового.</w:t>
      </w:r>
    </w:p>
    <w:p w14:paraId="1075600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 метою збільшення податкової бази та залучення додаткових надходжень до бюджету Петрівської селищної територіальної громади визначено такі пріоритетні завдання:</w:t>
      </w:r>
    </w:p>
    <w:p w14:paraId="01F24191" w14:textId="77777777" w:rsidR="00C764AC" w:rsidRPr="00C764AC" w:rsidRDefault="00C764AC" w:rsidP="00770A1C">
      <w:pPr>
        <w:spacing w:after="0" w:line="240" w:lineRule="auto"/>
        <w:ind w:left="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сприяння створенню робочих місць;</w:t>
      </w:r>
    </w:p>
    <w:p w14:paraId="45CA1AA9"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проведення роз’яснювальної роботи серед населення через засоби масової інформації щодо соціального значення легалізації праці та заробітної плати, дотримання норм законодавства в частині оплати праці у розмірі не менше законодавчо встановленого мінімуму, обов’язкового декларування доходів та сплати податків;</w:t>
      </w:r>
    </w:p>
    <w:p w14:paraId="756DAE12"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своєчасна та у повному обсязі сплата податків та зборів до бюджету громади;</w:t>
      </w:r>
    </w:p>
    <w:p w14:paraId="0BBBCFDE"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поліпшення організаційних умов для залучення земельного потенціалу громади;</w:t>
      </w:r>
    </w:p>
    <w:p w14:paraId="3F223DB5"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інвентаризація земельних ділянок та перегляд укладених договорів оренди земельних ділянок на предмет відповідності розміру орендної плати нормам Податкового кодексу України;</w:t>
      </w:r>
    </w:p>
    <w:p w14:paraId="1FA61C3A"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перегляд укладених договорів оренди земельних ділянок стосовно відповідності розміру орендної плати нормам Податкового кодексу;</w:t>
      </w:r>
    </w:p>
    <w:p w14:paraId="42959DE2"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актуалізація нормативної грошової оцінки землі;</w:t>
      </w:r>
    </w:p>
    <w:p w14:paraId="00D6C584"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оформлення прав користування земельними ділянками;</w:t>
      </w:r>
    </w:p>
    <w:p w14:paraId="4A640755"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скорочення випадків </w:t>
      </w:r>
      <w:proofErr w:type="spellStart"/>
      <w:r w:rsidRPr="00C764AC">
        <w:rPr>
          <w:rFonts w:ascii="Times New Roman" w:hAnsi="Times New Roman" w:cs="Times New Roman"/>
          <w:bCs/>
          <w:sz w:val="24"/>
          <w:szCs w:val="24"/>
          <w:lang w:val="uk-UA"/>
        </w:rPr>
        <w:t>бездоговірного</w:t>
      </w:r>
      <w:proofErr w:type="spellEnd"/>
      <w:r w:rsidRPr="00C764AC">
        <w:rPr>
          <w:rFonts w:ascii="Times New Roman" w:hAnsi="Times New Roman" w:cs="Times New Roman"/>
          <w:bCs/>
          <w:sz w:val="24"/>
          <w:szCs w:val="24"/>
          <w:lang w:val="uk-UA"/>
        </w:rPr>
        <w:t xml:space="preserve"> використання земель;</w:t>
      </w:r>
    </w:p>
    <w:p w14:paraId="7A7A326D"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ефективне управління комунальним майном шляхом проведення повної інвентаризації об’єктів та підвищення рівня орендної плати відповідно до ринкових умов;</w:t>
      </w:r>
    </w:p>
    <w:p w14:paraId="3CED7024"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збільшення власних надходжень бюджетних установ;</w:t>
      </w:r>
    </w:p>
    <w:p w14:paraId="7BF3E852"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проводити моніторинг податкового боргу платників податків до бюджету громади для подальшого вжиття заходів щодо його зменшення та недопущення у подальшому, а також адресна робота з найбільшими боржниками;</w:t>
      </w:r>
    </w:p>
    <w:p w14:paraId="57248A6C"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посилення взаємодії з податковою службою та державними реєстрами;</w:t>
      </w:r>
    </w:p>
    <w:p w14:paraId="2FDF3C29"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спільні заходи з контролюючими органами щодо легалізації зайнятості, виявлення незареєстрованої підприємницької діяльності та інформаційна робота щодо добровільної сплати місцевих податків;</w:t>
      </w:r>
    </w:p>
    <w:p w14:paraId="2213AC17" w14:textId="77777777" w:rsidR="00C764AC" w:rsidRPr="00C764AC" w:rsidRDefault="00C764AC" w:rsidP="00770A1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перегляд ставок місцевих податків і зборів.</w:t>
      </w:r>
    </w:p>
    <w:p w14:paraId="67BDB4D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Крім того, на прогнозні показники доходів бюджету громади матимуть вплив:</w:t>
      </w:r>
    </w:p>
    <w:p w14:paraId="73D0593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ріст фонду оплати праці усіх працівників (штатних та нештатних), у тому числі і у зв’язку з ростом мінімальної заробітної плати та ростом посадового окладу працівника І тарифного розряду Єдиної тарифної сітки;</w:t>
      </w:r>
    </w:p>
    <w:p w14:paraId="1AFAEE5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ріст розміру прожиткового мінімуму та прогнозного індексу споживчих цін;</w:t>
      </w:r>
    </w:p>
    <w:p w14:paraId="2796605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зростання </w:t>
      </w:r>
      <w:proofErr w:type="spellStart"/>
      <w:r w:rsidRPr="00C764AC">
        <w:rPr>
          <w:rFonts w:ascii="Times New Roman" w:hAnsi="Times New Roman" w:cs="Times New Roman"/>
          <w:bCs/>
          <w:sz w:val="24"/>
          <w:szCs w:val="24"/>
          <w:lang w:val="uk-UA"/>
        </w:rPr>
        <w:t>макропоказників</w:t>
      </w:r>
      <w:proofErr w:type="spellEnd"/>
      <w:r w:rsidRPr="00C764AC">
        <w:rPr>
          <w:rFonts w:ascii="Times New Roman" w:hAnsi="Times New Roman" w:cs="Times New Roman"/>
          <w:bCs/>
          <w:sz w:val="24"/>
          <w:szCs w:val="24"/>
          <w:lang w:val="uk-UA"/>
        </w:rPr>
        <w:t xml:space="preserve"> та соціальних стандартів, що збільшить надходження з податку на доходи фізичних осіб, місцеві податки і збори та надходження від адміністративних зборів та платежів.</w:t>
      </w:r>
    </w:p>
    <w:p w14:paraId="4EFAB03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Податкові надходження загального фонду становлять більшу і основну частину бюджету громади (питома вага 99,8% в доходах загального фонду без трансфертів), що вказує на фінансову самостійність і стабільність громади. Основними </w:t>
      </w:r>
      <w:proofErr w:type="spellStart"/>
      <w:r w:rsidRPr="00C764AC">
        <w:rPr>
          <w:rFonts w:ascii="Times New Roman" w:hAnsi="Times New Roman" w:cs="Times New Roman"/>
          <w:bCs/>
          <w:sz w:val="24"/>
          <w:szCs w:val="24"/>
          <w:lang w:val="uk-UA"/>
        </w:rPr>
        <w:t>бюджетоформуючими</w:t>
      </w:r>
      <w:proofErr w:type="spellEnd"/>
      <w:r w:rsidRPr="00C764AC">
        <w:rPr>
          <w:rFonts w:ascii="Times New Roman" w:hAnsi="Times New Roman" w:cs="Times New Roman"/>
          <w:bCs/>
          <w:sz w:val="24"/>
          <w:szCs w:val="24"/>
          <w:lang w:val="uk-UA"/>
        </w:rPr>
        <w:t xml:space="preserve"> джерелами формування доходної частини загального фонду бюджету у 2027-2029 роках залишаються податок на доходи фізичних осіб, плата за землю, єдиний податок, податок на нерухоме майно та акцизний податок, які наповнюють загальний фонд бюджету громади.</w:t>
      </w:r>
    </w:p>
    <w:p w14:paraId="0245FF5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Найбільшу питому вагу у доходах бюджету громади у 202</w:t>
      </w:r>
      <w:r w:rsidRPr="00C764AC">
        <w:rPr>
          <w:rFonts w:ascii="Times New Roman" w:hAnsi="Times New Roman" w:cs="Times New Roman"/>
          <w:bCs/>
          <w:sz w:val="24"/>
          <w:szCs w:val="24"/>
        </w:rPr>
        <w:t>7</w:t>
      </w:r>
      <w:r w:rsidRPr="00C764AC">
        <w:rPr>
          <w:rFonts w:ascii="Times New Roman" w:hAnsi="Times New Roman" w:cs="Times New Roman"/>
          <w:bCs/>
          <w:sz w:val="24"/>
          <w:szCs w:val="24"/>
          <w:lang w:val="uk-UA"/>
        </w:rPr>
        <w:t>-202</w:t>
      </w:r>
      <w:r w:rsidRPr="00C764AC">
        <w:rPr>
          <w:rFonts w:ascii="Times New Roman" w:hAnsi="Times New Roman" w:cs="Times New Roman"/>
          <w:bCs/>
          <w:sz w:val="24"/>
          <w:szCs w:val="24"/>
        </w:rPr>
        <w:t>9</w:t>
      </w:r>
      <w:r w:rsidRPr="00C764AC">
        <w:rPr>
          <w:rFonts w:ascii="Times New Roman" w:hAnsi="Times New Roman" w:cs="Times New Roman"/>
          <w:bCs/>
          <w:sz w:val="24"/>
          <w:szCs w:val="24"/>
          <w:lang w:val="uk-UA"/>
        </w:rPr>
        <w:t xml:space="preserve"> роках займає податок на доходи фізичних осіб (42,5%), що сплачується податковими агентами із доходів платника податку у вигляді заробітної плати. Прогнозні надходження податку на доходи фізичних осіб розраховано з урахуванням положень Податкового та Бюджетного кодексів України, з урахуванням очікуваного виконання надходжень у 2026 році, динаміки фонду оплати праці, прогнозованого зростання заробітної плати, змін соціальних стандартів та законодавства, а також з урахуванням макроекономічних показників, визначених Бюджетною декларацією на 2027-2029 роки. Темпи росту податку на доходи фізичних осіб прогнозуються у 2027 році на рівні майже 2,6% (низький темп пояснюється передачею 4% зазначеного податку до державного бюджету), у 2028 році – на </w:t>
      </w:r>
      <w:r w:rsidRPr="00C764AC">
        <w:rPr>
          <w:rFonts w:ascii="Times New Roman" w:hAnsi="Times New Roman" w:cs="Times New Roman"/>
          <w:bCs/>
          <w:sz w:val="24"/>
          <w:szCs w:val="24"/>
          <w:lang w:val="en-US"/>
        </w:rPr>
        <w:t>5</w:t>
      </w:r>
      <w:r w:rsidRPr="00C764AC">
        <w:rPr>
          <w:rFonts w:ascii="Times New Roman" w:hAnsi="Times New Roman" w:cs="Times New Roman"/>
          <w:bCs/>
          <w:sz w:val="24"/>
          <w:szCs w:val="24"/>
          <w:lang w:val="uk-UA"/>
        </w:rPr>
        <w:t xml:space="preserve">,1% більше та у 2029 році – на </w:t>
      </w:r>
      <w:r w:rsidRPr="00C764AC">
        <w:rPr>
          <w:rFonts w:ascii="Times New Roman" w:hAnsi="Times New Roman" w:cs="Times New Roman"/>
          <w:bCs/>
          <w:sz w:val="24"/>
          <w:szCs w:val="24"/>
          <w:lang w:val="en-US"/>
        </w:rPr>
        <w:t>5,7</w:t>
      </w:r>
      <w:r w:rsidRPr="00C764AC">
        <w:rPr>
          <w:rFonts w:ascii="Times New Roman" w:hAnsi="Times New Roman" w:cs="Times New Roman"/>
          <w:bCs/>
          <w:sz w:val="24"/>
          <w:szCs w:val="24"/>
          <w:lang w:val="uk-UA"/>
        </w:rPr>
        <w:t>% більше.</w:t>
      </w:r>
    </w:p>
    <w:p w14:paraId="5260DD7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Обсяг єдиного податку на 2027-2029 роки розраховано з урахуванням встановлених Петрівською селищною радою ставок місцевих податків і зборів та з урахуванням положень Податкового кодексу України, враховуючи фактичні надходження за попередні роки та розміру соціальних стандартів. Єдиний податок має 13,</w:t>
      </w:r>
      <w:r w:rsidRPr="00C764AC">
        <w:rPr>
          <w:rFonts w:ascii="Times New Roman" w:hAnsi="Times New Roman" w:cs="Times New Roman"/>
          <w:bCs/>
          <w:sz w:val="24"/>
          <w:szCs w:val="24"/>
          <w:lang w:val="en-US"/>
        </w:rPr>
        <w:t>3</w:t>
      </w:r>
      <w:r w:rsidRPr="00C764AC">
        <w:rPr>
          <w:rFonts w:ascii="Times New Roman" w:hAnsi="Times New Roman" w:cs="Times New Roman"/>
          <w:bCs/>
          <w:sz w:val="24"/>
          <w:szCs w:val="24"/>
          <w:lang w:val="uk-UA"/>
        </w:rPr>
        <w:t xml:space="preserve">% питомої ваги у загальному обсязі надходжень до загального фонду бюджету громади (без трансфертів). Темпи росту єдиного податку прогнозуються у 2027 році – на 7,8% більше, у 2028 році – на </w:t>
      </w:r>
      <w:r w:rsidRPr="00C764AC">
        <w:rPr>
          <w:rFonts w:ascii="Times New Roman" w:hAnsi="Times New Roman" w:cs="Times New Roman"/>
          <w:bCs/>
          <w:sz w:val="24"/>
          <w:szCs w:val="24"/>
          <w:lang w:val="en-US"/>
        </w:rPr>
        <w:t>4,5</w:t>
      </w:r>
      <w:r w:rsidRPr="00C764AC">
        <w:rPr>
          <w:rFonts w:ascii="Times New Roman" w:hAnsi="Times New Roman" w:cs="Times New Roman"/>
          <w:bCs/>
          <w:sz w:val="24"/>
          <w:szCs w:val="24"/>
          <w:lang w:val="uk-UA"/>
        </w:rPr>
        <w:t xml:space="preserve">% та у 2029 році – на </w:t>
      </w:r>
      <w:r w:rsidRPr="00C764AC">
        <w:rPr>
          <w:rFonts w:ascii="Times New Roman" w:hAnsi="Times New Roman" w:cs="Times New Roman"/>
          <w:bCs/>
          <w:sz w:val="24"/>
          <w:szCs w:val="24"/>
          <w:lang w:val="en-US"/>
        </w:rPr>
        <w:t>4,3</w:t>
      </w:r>
      <w:r w:rsidRPr="00C764AC">
        <w:rPr>
          <w:rFonts w:ascii="Times New Roman" w:hAnsi="Times New Roman" w:cs="Times New Roman"/>
          <w:bCs/>
          <w:sz w:val="24"/>
          <w:szCs w:val="24"/>
          <w:lang w:val="uk-UA"/>
        </w:rPr>
        <w:t>%.</w:t>
      </w:r>
    </w:p>
    <w:p w14:paraId="691D98B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Прогнозний розрахунок плати за землю на 2027-2029 роки проведено за підсумками фактичних надходжень у попередньому році та очікуваних надходжень у 2026 році, з урахуванням ставок, визначених рішеннями Петрівської селищної ради та з урахуванням перегляду договорів оренди земельних ділянок в частині збільшення розміру орендної плати, прийняття рішень про встановлення фактів користування земельною ділянкою без оформлення </w:t>
      </w:r>
      <w:proofErr w:type="spellStart"/>
      <w:r w:rsidRPr="00C764AC">
        <w:rPr>
          <w:rFonts w:ascii="Times New Roman" w:hAnsi="Times New Roman" w:cs="Times New Roman"/>
          <w:bCs/>
          <w:sz w:val="24"/>
          <w:szCs w:val="24"/>
          <w:lang w:val="uk-UA"/>
        </w:rPr>
        <w:t>правовстановлювальних</w:t>
      </w:r>
      <w:proofErr w:type="spellEnd"/>
      <w:r w:rsidRPr="00C764AC">
        <w:rPr>
          <w:rFonts w:ascii="Times New Roman" w:hAnsi="Times New Roman" w:cs="Times New Roman"/>
          <w:bCs/>
          <w:sz w:val="24"/>
          <w:szCs w:val="24"/>
          <w:lang w:val="uk-UA"/>
        </w:rPr>
        <w:t xml:space="preserve"> документів і враховуючи погашення податкового боргу. </w:t>
      </w:r>
    </w:p>
    <w:p w14:paraId="2F789DF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Плата за землю має 34,</w:t>
      </w:r>
      <w:r w:rsidRPr="00C764AC">
        <w:rPr>
          <w:rFonts w:ascii="Times New Roman" w:hAnsi="Times New Roman" w:cs="Times New Roman"/>
          <w:bCs/>
          <w:sz w:val="24"/>
          <w:szCs w:val="24"/>
          <w:lang w:val="en-US"/>
        </w:rPr>
        <w:t>6</w:t>
      </w:r>
      <w:r w:rsidRPr="00C764AC">
        <w:rPr>
          <w:rFonts w:ascii="Times New Roman" w:hAnsi="Times New Roman" w:cs="Times New Roman"/>
          <w:bCs/>
          <w:sz w:val="24"/>
          <w:szCs w:val="24"/>
          <w:lang w:val="uk-UA"/>
        </w:rPr>
        <w:t>% питомої ваги у загальному обсязі надходжень до загального фонду бюджету громади (без трансфертів), у тому числі 3</w:t>
      </w:r>
      <w:r w:rsidRPr="00C764AC">
        <w:rPr>
          <w:rFonts w:ascii="Times New Roman" w:hAnsi="Times New Roman" w:cs="Times New Roman"/>
          <w:bCs/>
          <w:sz w:val="24"/>
          <w:szCs w:val="24"/>
          <w:lang w:val="en-US"/>
        </w:rPr>
        <w:t>1,2</w:t>
      </w:r>
      <w:r w:rsidRPr="00C764AC">
        <w:rPr>
          <w:rFonts w:ascii="Times New Roman" w:hAnsi="Times New Roman" w:cs="Times New Roman"/>
          <w:bCs/>
          <w:sz w:val="24"/>
          <w:szCs w:val="24"/>
          <w:lang w:val="uk-UA"/>
        </w:rPr>
        <w:t xml:space="preserve">% – орендна плата з юридичних осіб. Темпи росту плати за землю прогнозуються у 2027 році – на 8,5% більше, у 2028 році – на </w:t>
      </w:r>
      <w:r w:rsidRPr="00C764AC">
        <w:rPr>
          <w:rFonts w:ascii="Times New Roman" w:hAnsi="Times New Roman" w:cs="Times New Roman"/>
          <w:bCs/>
          <w:sz w:val="24"/>
          <w:szCs w:val="24"/>
          <w:lang w:val="en-US"/>
        </w:rPr>
        <w:t>6,0</w:t>
      </w:r>
      <w:r w:rsidRPr="00C764AC">
        <w:rPr>
          <w:rFonts w:ascii="Times New Roman" w:hAnsi="Times New Roman" w:cs="Times New Roman"/>
          <w:bCs/>
          <w:sz w:val="24"/>
          <w:szCs w:val="24"/>
          <w:lang w:val="uk-UA"/>
        </w:rPr>
        <w:t xml:space="preserve">% та у 2029 році – на </w:t>
      </w:r>
      <w:r w:rsidRPr="00C764AC">
        <w:rPr>
          <w:rFonts w:ascii="Times New Roman" w:hAnsi="Times New Roman" w:cs="Times New Roman"/>
          <w:bCs/>
          <w:sz w:val="24"/>
          <w:szCs w:val="24"/>
          <w:lang w:val="en-US"/>
        </w:rPr>
        <w:t>4</w:t>
      </w:r>
      <w:r w:rsidRPr="00C764AC">
        <w:rPr>
          <w:rFonts w:ascii="Times New Roman" w:hAnsi="Times New Roman" w:cs="Times New Roman"/>
          <w:bCs/>
          <w:sz w:val="24"/>
          <w:szCs w:val="24"/>
          <w:lang w:val="uk-UA"/>
        </w:rPr>
        <w:t>,9% більше.</w:t>
      </w:r>
    </w:p>
    <w:p w14:paraId="414FEAE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Розрахунок податку на нерухоме майно, відмінне від земельної ділянки на 2027-2029 роки проведено з урахуванням ставок податку, які встановлення Петрівською селищною радою, враховуючи фактичні надходження у попередньому році на очікуваних надходжень у 2026 році. Темпи росту податку на нерухоме майно, відмінне від земельної ділянки прогнозуються у 2027 році – на 10,4% більше, у 2028 році – на </w:t>
      </w:r>
      <w:r w:rsidRPr="00C764AC">
        <w:rPr>
          <w:rFonts w:ascii="Times New Roman" w:hAnsi="Times New Roman" w:cs="Times New Roman"/>
          <w:bCs/>
          <w:sz w:val="24"/>
          <w:szCs w:val="24"/>
          <w:lang w:val="en-US"/>
        </w:rPr>
        <w:t>5,7</w:t>
      </w:r>
      <w:r w:rsidRPr="00C764AC">
        <w:rPr>
          <w:rFonts w:ascii="Times New Roman" w:hAnsi="Times New Roman" w:cs="Times New Roman"/>
          <w:bCs/>
          <w:sz w:val="24"/>
          <w:szCs w:val="24"/>
          <w:lang w:val="uk-UA"/>
        </w:rPr>
        <w:t xml:space="preserve">% та у 2029 році – на </w:t>
      </w:r>
      <w:r w:rsidRPr="00C764AC">
        <w:rPr>
          <w:rFonts w:ascii="Times New Roman" w:hAnsi="Times New Roman" w:cs="Times New Roman"/>
          <w:bCs/>
          <w:sz w:val="24"/>
          <w:szCs w:val="24"/>
          <w:lang w:val="en-US"/>
        </w:rPr>
        <w:t>5,9</w:t>
      </w:r>
      <w:r w:rsidRPr="00C764AC">
        <w:rPr>
          <w:rFonts w:ascii="Times New Roman" w:hAnsi="Times New Roman" w:cs="Times New Roman"/>
          <w:bCs/>
          <w:sz w:val="24"/>
          <w:szCs w:val="24"/>
          <w:lang w:val="uk-UA"/>
        </w:rPr>
        <w:t>% більше.</w:t>
      </w:r>
    </w:p>
    <w:p w14:paraId="31F2D31E" w14:textId="662BABD0"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надходження акцизного податку на 2027-2029 роки розраховані з урахуванням податкового законодавства, фактичної та очікуваної динаміки надходжень та макроекономічних показників. Темпи росту акцизного податку прогнозуються у 2027 році – на 5,3% більше, у 2028 році – на 4,1% та у 2029 році – на рівні попереднього року.</w:t>
      </w:r>
    </w:p>
    <w:p w14:paraId="4B99F8C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З урахуванням основних макроекономічних показників економічного та соціального розвитку країни, динаміки зростання податкових надходжень, впровадження послідовної та передбачуваної податкової політики на територій Петрівської селищної територіальної громади в середньостроковому періоді загальні показники доходів зростуть, що дозволить забезпечити середньорічний приріст доходів загального фонду бюджету громади (без трансфертів) в середньому на 5,2% у 2027-2028 роках та на 4,9% – у 2029 році.</w:t>
      </w:r>
    </w:p>
    <w:p w14:paraId="6CE9735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647EC642" w14:textId="77777777" w:rsidR="00770A1C" w:rsidRDefault="00C764AC" w:rsidP="00770A1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en-US"/>
        </w:rPr>
        <w:t>V</w:t>
      </w:r>
      <w:r w:rsidRPr="00C764AC">
        <w:rPr>
          <w:rFonts w:ascii="Times New Roman" w:hAnsi="Times New Roman" w:cs="Times New Roman"/>
          <w:b/>
          <w:sz w:val="24"/>
          <w:szCs w:val="24"/>
        </w:rPr>
        <w:t xml:space="preserve">. </w:t>
      </w:r>
      <w:r w:rsidRPr="00C764AC">
        <w:rPr>
          <w:rFonts w:ascii="Times New Roman" w:hAnsi="Times New Roman" w:cs="Times New Roman"/>
          <w:b/>
          <w:sz w:val="24"/>
          <w:szCs w:val="24"/>
          <w:lang w:val="uk-UA"/>
        </w:rPr>
        <w:t xml:space="preserve">Показники фінансування бюджету, показники місцевого боргу, </w:t>
      </w:r>
    </w:p>
    <w:p w14:paraId="0CFA99AD" w14:textId="77777777" w:rsidR="00770A1C" w:rsidRDefault="00C764AC" w:rsidP="00770A1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 xml:space="preserve">показники надання місцевих гарантій, обсягу гарантійних зобов’язань </w:t>
      </w:r>
    </w:p>
    <w:p w14:paraId="52FB6970" w14:textId="6E88B0FC" w:rsidR="00C764AC" w:rsidRPr="00C764AC" w:rsidRDefault="00C764AC" w:rsidP="00770A1C">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та гарантованого громадою боргу</w:t>
      </w:r>
    </w:p>
    <w:p w14:paraId="1208BF7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74A4E5AE" w14:textId="51A95F23"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Показники фінансування бюджету Петрівської селищної територіальної громади на 2027</w:t>
      </w:r>
      <w:r w:rsidR="00770A1C">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2029 роки наведені у додатку 3 до Прогнозу та спрямовані на забезпечення фінансовим ресурсом заходів на підготовку та реалізацію публічних інвестиційних </w:t>
      </w:r>
      <w:proofErr w:type="spellStart"/>
      <w:r w:rsidRPr="00C764AC">
        <w:rPr>
          <w:rFonts w:ascii="Times New Roman" w:hAnsi="Times New Roman" w:cs="Times New Roman"/>
          <w:bCs/>
          <w:sz w:val="24"/>
          <w:szCs w:val="24"/>
          <w:lang w:val="uk-UA"/>
        </w:rPr>
        <w:t>проєктів</w:t>
      </w:r>
      <w:proofErr w:type="spellEnd"/>
      <w:r w:rsidRPr="00C764AC">
        <w:rPr>
          <w:rFonts w:ascii="Times New Roman" w:hAnsi="Times New Roman" w:cs="Times New Roman"/>
          <w:bCs/>
          <w:sz w:val="24"/>
          <w:szCs w:val="24"/>
          <w:lang w:val="uk-UA"/>
        </w:rPr>
        <w:t xml:space="preserve"> та програм публічних інвестицій, визначених середньостроковим планом пріоритетних публічних інвестицій територіальної громади.</w:t>
      </w:r>
    </w:p>
    <w:p w14:paraId="750C34AD" w14:textId="5229C9EE"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Кошти, що передаються із загального фонду до бюджету розвитку (спеціального фонду) на 2027 рік – 10800,0 тис.</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2028 рік - 10000,0 тис.</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2029 рік – 10000,0 тис.</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w:t>
      </w:r>
    </w:p>
    <w:p w14:paraId="704DC36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В умовах реформування системи управління публічними інвестиціями та на підставі пов’язаних з цим змін у бюджетному законодавстві до Прогнозу бюджету громади на 2027–2029 роки включено секторальний розподіл обсягу публічних інвестицій на підготовку та реалізацію публічних інвестиційних </w:t>
      </w:r>
      <w:proofErr w:type="spellStart"/>
      <w:r w:rsidRPr="00C764AC">
        <w:rPr>
          <w:rFonts w:ascii="Times New Roman" w:hAnsi="Times New Roman" w:cs="Times New Roman"/>
          <w:bCs/>
          <w:sz w:val="24"/>
          <w:szCs w:val="24"/>
          <w:lang w:val="uk-UA"/>
        </w:rPr>
        <w:t>проєктів</w:t>
      </w:r>
      <w:proofErr w:type="spellEnd"/>
      <w:r w:rsidRPr="00C764AC">
        <w:rPr>
          <w:rFonts w:ascii="Times New Roman" w:hAnsi="Times New Roman" w:cs="Times New Roman"/>
          <w:bCs/>
          <w:sz w:val="24"/>
          <w:szCs w:val="24"/>
          <w:lang w:val="uk-UA"/>
        </w:rPr>
        <w:t xml:space="preserve"> та програм публічних інвестицій з урахуванням середньострокового плану пріоритетних публічних інвестицій територіальної громади (Додаток 9).</w:t>
      </w:r>
    </w:p>
    <w:p w14:paraId="724E8901" w14:textId="198C8594"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Середньостроковим планом пріоритетних публічних інвестицій Петрівської селищної територіальної громади на 2027</w:t>
      </w:r>
      <w:r w:rsidR="00770A1C">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2029 роки, який схвалено Інвестиційною радою Петрівської селищної територіальної громади, визначено 1 ключовий сектор (галузь) для публічного інвестування, який передбачає 1 пріоритетний напрям публічних інвестицій (основний напрям публічного інвестування), що узгоджуються із завданнями Стратегії розвитку Петрівської селищної територіальної громади на 2025-2027 роки та Планом на 2025</w:t>
      </w:r>
      <w:r w:rsidR="00770A1C">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2027 роки з реалізації Стратегії розвитку та галузевою програмою, а саме:</w:t>
      </w:r>
    </w:p>
    <w:p w14:paraId="49EAE0ED" w14:textId="38D25C2D"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сектор «Освіта і наука»</w:t>
      </w:r>
      <w:r w:rsidR="00770A1C">
        <w:rPr>
          <w:rFonts w:ascii="Times New Roman" w:hAnsi="Times New Roman" w:cs="Times New Roman"/>
          <w:bCs/>
          <w:sz w:val="24"/>
          <w:szCs w:val="24"/>
          <w:lang w:val="uk-UA"/>
        </w:rPr>
        <w:t xml:space="preserve"> </w:t>
      </w:r>
      <w:r w:rsidR="00770A1C" w:rsidRPr="00C764AC">
        <w:rPr>
          <w:rFonts w:ascii="Times New Roman" w:hAnsi="Times New Roman" w:cs="Times New Roman"/>
          <w:bCs/>
          <w:sz w:val="24"/>
          <w:szCs w:val="24"/>
          <w:lang w:val="uk-UA"/>
        </w:rPr>
        <w:t>–</w:t>
      </w:r>
      <w:r w:rsidR="00770A1C">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матеріально-технічне забезпечення закладів освіти, капітальний ремонт, реконструкція закладів освіти.</w:t>
      </w:r>
    </w:p>
    <w:p w14:paraId="52C3BDC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На підготовку та реалізацію публічних інвестиційних </w:t>
      </w:r>
      <w:proofErr w:type="spellStart"/>
      <w:r w:rsidRPr="00C764AC">
        <w:rPr>
          <w:rFonts w:ascii="Times New Roman" w:hAnsi="Times New Roman" w:cs="Times New Roman"/>
          <w:bCs/>
          <w:sz w:val="24"/>
          <w:szCs w:val="24"/>
          <w:lang w:val="uk-UA"/>
        </w:rPr>
        <w:t>проєктів</w:t>
      </w:r>
      <w:proofErr w:type="spellEnd"/>
      <w:r w:rsidRPr="00C764AC">
        <w:rPr>
          <w:rFonts w:ascii="Times New Roman" w:hAnsi="Times New Roman" w:cs="Times New Roman"/>
          <w:bCs/>
          <w:sz w:val="24"/>
          <w:szCs w:val="24"/>
          <w:lang w:val="uk-UA"/>
        </w:rPr>
        <w:t xml:space="preserve"> та програм публічних інвестицій передбачено обсяг публічних інвестицій за рахунок коштів бюджету селищної територіальної громади (бюджету розвитку) в обсязі 44200,0 тис. грн.</w:t>
      </w:r>
    </w:p>
    <w:p w14:paraId="3A54B21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До Прогнозу бюджету Петрівської селищної територіальної громади на 2027-2029  роки відсутні додаток 4 «Показники місцевого боргу» та додаток 5 «Показники надання місцевих гарантій, обсягу гарантійних зобов’язань та гарантованого селищною територіальною громадою боргу» у зв’язку з відсутністю інформації для відображення в зазначених додатках.</w:t>
      </w:r>
    </w:p>
    <w:p w14:paraId="5E420A8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269AD0E2" w14:textId="77777777" w:rsidR="00C764AC" w:rsidRDefault="00C764AC" w:rsidP="00AC599B">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en-US"/>
        </w:rPr>
        <w:t>VI</w:t>
      </w:r>
      <w:r w:rsidRPr="00C764AC">
        <w:rPr>
          <w:rFonts w:ascii="Times New Roman" w:hAnsi="Times New Roman" w:cs="Times New Roman"/>
          <w:b/>
          <w:sz w:val="24"/>
          <w:szCs w:val="24"/>
          <w:lang w:val="uk-UA"/>
        </w:rPr>
        <w:t>. Показники видатків бюджету та надання кредитів з бюджету</w:t>
      </w:r>
    </w:p>
    <w:p w14:paraId="4715B687" w14:textId="77777777" w:rsidR="00AC599B" w:rsidRPr="00C764AC" w:rsidRDefault="00AC599B" w:rsidP="00AC599B">
      <w:pPr>
        <w:spacing w:after="0" w:line="240" w:lineRule="auto"/>
        <w:ind w:firstLine="567"/>
        <w:contextualSpacing/>
        <w:jc w:val="center"/>
        <w:rPr>
          <w:rFonts w:ascii="Times New Roman" w:hAnsi="Times New Roman" w:cs="Times New Roman"/>
          <w:b/>
          <w:sz w:val="24"/>
          <w:szCs w:val="24"/>
          <w:lang w:val="uk-UA"/>
        </w:rPr>
      </w:pPr>
    </w:p>
    <w:p w14:paraId="1C4C40E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Під час формування видаткової частини бюджету Петрівської селищної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14:paraId="3462866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Прогнозні показники видатків та кредитування бюджету Петрівської селищної територіальної громади на 2027-2029 роки відображені на підставі поданих головними розпорядниками коштів пропозицій до Прогнозу, а саме:</w:t>
      </w:r>
    </w:p>
    <w:p w14:paraId="42CA146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граничні показники видатків бюджету та надання кредитів з бюджету головним розпорядникам коштів – додаток 6;</w:t>
      </w:r>
    </w:p>
    <w:p w14:paraId="5D7C783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 граничні показники видатків бюджету за Типовою програмною класифікацією видатків та кредитування місцевого бюджету -  додаток 7. </w:t>
      </w:r>
    </w:p>
    <w:p w14:paraId="0B1DECC5" w14:textId="5EBE0D72"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2027-2029 роки відповідно до Бюджетної декларації, прийнятої  Верховною Радою України 17 червня 2026 року.</w:t>
      </w:r>
    </w:p>
    <w:p w14:paraId="1610F9EA" w14:textId="71E4D394"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Видатки бюджету Петрівської селищної територіальної громади (з урахуванням міжбюджетних трансфертів) на середньостроковий період визначені на 2027 рік – 508 273,2 тис.</w:t>
      </w:r>
      <w:r w:rsidR="00274B7D">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2028 рік – 537 212,1 тис.</w:t>
      </w:r>
      <w:r w:rsidR="00274B7D">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2029 рік – 563 910,1 тис.</w:t>
      </w:r>
      <w:r w:rsidR="00274B7D">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w:t>
      </w:r>
    </w:p>
    <w:p w14:paraId="2450504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Враховані обсяги видатків забезпечують стабільну та безпечну роботу установ та закладів соціально-культурної сфери, надання жителям громади підтримки у подоланні складних життєвих обставин, які виникли в результаті збройної агресії, надання соціальних гарантій для </w:t>
      </w:r>
      <w:proofErr w:type="spellStart"/>
      <w:r w:rsidRPr="00C764AC">
        <w:rPr>
          <w:rFonts w:ascii="Times New Roman" w:hAnsi="Times New Roman" w:cs="Times New Roman"/>
          <w:bCs/>
          <w:sz w:val="24"/>
          <w:szCs w:val="24"/>
          <w:lang w:val="uk-UA"/>
        </w:rPr>
        <w:t>малозахищених</w:t>
      </w:r>
      <w:proofErr w:type="spellEnd"/>
      <w:r w:rsidRPr="00C764AC">
        <w:rPr>
          <w:rFonts w:ascii="Times New Roman" w:hAnsi="Times New Roman" w:cs="Times New Roman"/>
          <w:bCs/>
          <w:sz w:val="24"/>
          <w:szCs w:val="24"/>
          <w:lang w:val="uk-UA"/>
        </w:rPr>
        <w:t xml:space="preserve"> категорій громадян, учасників бойових дій, ветеранів та членів їх сімей, внутрішньо переміщених осіб, підтримки в належному стані об’єктів житлово-комунального господарства, інших об’єктів інфраструктури міста, виконання місцевих цільових (комплексних) програм в межах фінансових можливостей бюджету.</w:t>
      </w:r>
    </w:p>
    <w:p w14:paraId="3823F46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5663F9FE" w14:textId="77777777" w:rsidR="00C764AC" w:rsidRDefault="00C764AC" w:rsidP="00274B7D">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Державне управління</w:t>
      </w:r>
    </w:p>
    <w:p w14:paraId="751B8DAC" w14:textId="77777777" w:rsidR="00274B7D" w:rsidRPr="00C764AC" w:rsidRDefault="00274B7D" w:rsidP="00274B7D">
      <w:pPr>
        <w:spacing w:after="0" w:line="240" w:lineRule="auto"/>
        <w:ind w:firstLine="567"/>
        <w:contextualSpacing/>
        <w:rPr>
          <w:rFonts w:ascii="Times New Roman" w:hAnsi="Times New Roman" w:cs="Times New Roman"/>
          <w:bCs/>
          <w:sz w:val="24"/>
          <w:szCs w:val="24"/>
          <w:lang w:val="uk-UA"/>
        </w:rPr>
      </w:pPr>
    </w:p>
    <w:p w14:paraId="547A78A9" w14:textId="3D17047C"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Надані законодавством повноваження у сфері державного управління у громаді реалізується через Петрівську селищну раду, представлену виконавчим апаратом та його структурними підрозділами (управління, відділи).</w:t>
      </w:r>
    </w:p>
    <w:p w14:paraId="7973E11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Метою діяльності є організаційне, інформаційно-аналітичне та матеріально-технічне забезпечення функціонування органу місцевого самоврядування, керівництво та управління виконавчими органами у відповідних сферах для ефективного представлення інтересів територіальної громади та здійснення від її імені та в її інтересах функцій і повноважень місцевого самоврядування, визначених Конституцією та законами України.</w:t>
      </w:r>
    </w:p>
    <w:p w14:paraId="6D8FB05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Пріоритетним напрямком у сфері державного управління є забезпечення створення та підтримки сприятливого життєвого середовища, необхідного для всебічного розвитку людини, її самореалізації, захисту її прав, стабільний розвитку місцевого самоврядування в умовах воєнного стану, ефективне використання бюджетних коштів в умовах обмеженості бюджетних ресурсів, а також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міжнародне партнерство та забезпечення участі громадськості у розв’язанні питань місцевого значення.</w:t>
      </w:r>
    </w:p>
    <w:p w14:paraId="3C6D947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У 202</w:t>
      </w:r>
      <w:r w:rsidRPr="00C764AC">
        <w:rPr>
          <w:rFonts w:ascii="Times New Roman" w:hAnsi="Times New Roman" w:cs="Times New Roman"/>
          <w:bCs/>
          <w:sz w:val="24"/>
          <w:szCs w:val="24"/>
        </w:rPr>
        <w:t>7</w:t>
      </w:r>
      <w:r w:rsidRPr="00C764AC">
        <w:rPr>
          <w:rFonts w:ascii="Times New Roman" w:hAnsi="Times New Roman" w:cs="Times New Roman"/>
          <w:bCs/>
          <w:sz w:val="24"/>
          <w:szCs w:val="24"/>
          <w:lang w:val="uk-UA"/>
        </w:rPr>
        <w:t>-202</w:t>
      </w:r>
      <w:r w:rsidRPr="00C764AC">
        <w:rPr>
          <w:rFonts w:ascii="Times New Roman" w:hAnsi="Times New Roman" w:cs="Times New Roman"/>
          <w:bCs/>
          <w:sz w:val="24"/>
          <w:szCs w:val="24"/>
        </w:rPr>
        <w:t>9</w:t>
      </w:r>
      <w:r w:rsidRPr="00C764AC">
        <w:rPr>
          <w:rFonts w:ascii="Times New Roman" w:hAnsi="Times New Roman" w:cs="Times New Roman"/>
          <w:bCs/>
          <w:sz w:val="24"/>
          <w:szCs w:val="24"/>
          <w:lang w:val="uk-UA"/>
        </w:rPr>
        <w:t xml:space="preserve"> роках передбачається здійснити такі заходи:</w:t>
      </w:r>
    </w:p>
    <w:p w14:paraId="52E5410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подальший розвиток прозорої системи в прийнятті рішень органами місцевого самоврядування, забезпечення відкритості та прозорості інформації про діяльність органів місцевого самоврядування; </w:t>
      </w:r>
    </w:p>
    <w:p w14:paraId="3FFC219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запровадження ефективної системи моніторингу, підвищення якості і доступності надання адміністративних, соціальних та інших послуг населенню; </w:t>
      </w:r>
    </w:p>
    <w:p w14:paraId="46A1E10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впровадження інформаційних технологій та електронного документообігу, посилення заходів </w:t>
      </w:r>
      <w:proofErr w:type="spellStart"/>
      <w:r w:rsidRPr="00C764AC">
        <w:rPr>
          <w:rFonts w:ascii="Times New Roman" w:hAnsi="Times New Roman" w:cs="Times New Roman"/>
          <w:bCs/>
          <w:sz w:val="24"/>
          <w:szCs w:val="24"/>
          <w:lang w:val="uk-UA"/>
        </w:rPr>
        <w:t>кібербезпеки</w:t>
      </w:r>
      <w:proofErr w:type="spellEnd"/>
      <w:r w:rsidRPr="00C764AC">
        <w:rPr>
          <w:rFonts w:ascii="Times New Roman" w:hAnsi="Times New Roman" w:cs="Times New Roman"/>
          <w:bCs/>
          <w:sz w:val="24"/>
          <w:szCs w:val="24"/>
          <w:lang w:val="uk-UA"/>
        </w:rPr>
        <w:t xml:space="preserve">;   </w:t>
      </w:r>
    </w:p>
    <w:p w14:paraId="4B43438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створення належних матеріальних, фінансових та організаційних умов для здійснення виконавчими органами селищної ради повноважень місцевого самоврядування у відповідних сферах. </w:t>
      </w:r>
    </w:p>
    <w:p w14:paraId="6E8183E7" w14:textId="77777777" w:rsidR="00C764AC" w:rsidRPr="00C764AC" w:rsidRDefault="00C764AC" w:rsidP="008077D5">
      <w:pPr>
        <w:spacing w:after="0" w:line="240" w:lineRule="auto"/>
        <w:ind w:firstLine="567"/>
        <w:contextualSpacing/>
        <w:jc w:val="both"/>
        <w:rPr>
          <w:rFonts w:ascii="Times New Roman" w:hAnsi="Times New Roman" w:cs="Times New Roman"/>
          <w:bCs/>
          <w:sz w:val="24"/>
          <w:szCs w:val="24"/>
          <w:lang w:val="uk-UA"/>
        </w:rPr>
      </w:pPr>
    </w:p>
    <w:p w14:paraId="79AE1F2A" w14:textId="77777777" w:rsidR="00C764AC" w:rsidRDefault="00C764AC" w:rsidP="00274B7D">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lastRenderedPageBreak/>
        <w:t>Освіта</w:t>
      </w:r>
    </w:p>
    <w:p w14:paraId="0D9596F0" w14:textId="77777777" w:rsidR="00274B7D" w:rsidRPr="00C764AC" w:rsidRDefault="00274B7D" w:rsidP="00274B7D">
      <w:pPr>
        <w:spacing w:after="0" w:line="240" w:lineRule="auto"/>
        <w:ind w:firstLine="567"/>
        <w:contextualSpacing/>
        <w:rPr>
          <w:rFonts w:ascii="Times New Roman" w:hAnsi="Times New Roman" w:cs="Times New Roman"/>
          <w:bCs/>
          <w:sz w:val="24"/>
          <w:szCs w:val="24"/>
          <w:lang w:val="uk-UA"/>
        </w:rPr>
      </w:pPr>
    </w:p>
    <w:p w14:paraId="27EE7DF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У сфері освіти пріоритетними цілями на середньостроковий період визначено створення належних умов для здобуття формальної освіти на всіх рівнях, а саме: дошкільної, загальної середньої, позашкільної головним розпорядником бюджетних коштів як відділ освіти Петрівської селищної ради. </w:t>
      </w:r>
    </w:p>
    <w:p w14:paraId="0363B312"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У 2027 -2029 роках передбачено виконання завдань спрямованих на:</w:t>
      </w:r>
    </w:p>
    <w:p w14:paraId="22D9657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безпекової ситуації;</w:t>
      </w:r>
    </w:p>
    <w:p w14:paraId="0915B13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організації якісного харчування у закладах загальної середньої освіти та належне облаштування харчоблоків у межах продовження реформи шкільного харчування з урахуванням фінансової спроможності територіальної громади;</w:t>
      </w:r>
    </w:p>
    <w:p w14:paraId="203B520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умов для формування ефективної мережі закладів освіти із урахуванням інтересів учасників освітнього процесу та потреб громади;</w:t>
      </w:r>
    </w:p>
    <w:p w14:paraId="1EC7D83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удосконалення системи оплати праці, запровадження ефективних мотиваційних механізмів і стимулів для залучення молодих педагогів до професійної діяльності через підвищення престижу педагогічної праці;</w:t>
      </w:r>
    </w:p>
    <w:p w14:paraId="73BDF2B1" w14:textId="0CB2D1D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продовження реалізації реформи </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Нова українська школа</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підготовка до впровадження трирічної профільної середньої освіти, імплементація якої розпочнеться із 2027 року.</w:t>
      </w:r>
    </w:p>
    <w:p w14:paraId="59146C28" w14:textId="7C23D704"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Гендерні аспекти в галузі освіти бюджету громади враховують рівні можливості та усунення дискримінації за статевою ознакою у навчальному процесі та професійній діяльності пов’язаній з освітою. Це передбачає врахування гендерних особливостей та потреб вихованців, учнів, а також забезпечення  рівного доступу до освіти та кар’єрного зростання для жінок та чоловіків. Так, в закладах дошкільної освіти громади зареєстровано                       390 вихованців, з них 49% хлопців, в закладах загальної середньої освіти громади здобувають освіту 1819 учнів, з них 53% хлопців, та із 240 педагогічних працівників в закладах загальної середньої освіти працює 10% чоловіків. </w:t>
      </w:r>
    </w:p>
    <w:p w14:paraId="7F861E1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Із загальної кількості закладів 90% будівель обладнані пандусами або мають вільний доступ (без сходів) до приміщень.</w:t>
      </w:r>
    </w:p>
    <w:p w14:paraId="573E015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Основні результати, яких планується досягти:</w:t>
      </w:r>
    </w:p>
    <w:p w14:paraId="00C7744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нового освітнього середовища, яке відповідає вимогам сьогодення;</w:t>
      </w:r>
    </w:p>
    <w:p w14:paraId="7EC393D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доступної дошкільної, загальної середньої та позашкільної освіти з урахуванням   демографічних та економічних реалій;</w:t>
      </w:r>
    </w:p>
    <w:p w14:paraId="300A873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сприяння підвищенню мотивації учнів до  навчання, а вчителів - до професійного розвитку;</w:t>
      </w:r>
    </w:p>
    <w:p w14:paraId="1EF29A6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надання освітніх послуг учням з особливими освітніми потребами максимально наближено до місця проживання та з урахуванням їх індивідуальних потреб і можливостей.</w:t>
      </w:r>
    </w:p>
    <w:p w14:paraId="5C1A558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реалізації права кожної дитини на повноцінне харчування, зниження рівня захворюваності, підтримку фізичного та психічного здоров’я школярів;</w:t>
      </w:r>
    </w:p>
    <w:p w14:paraId="7951174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розбудова безпечної та інклюзивної системи освіти за допомогою наближення освітніх послуг учням з особливими освітніми потребами максимально до місця їх проживання, врахування індивідуальних потреб і можливостей таких здобувачів освіти;</w:t>
      </w:r>
    </w:p>
    <w:p w14:paraId="36F5FD5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оновлення методики мистецької і позашкільної освіти на засадах української національної і громадської ідентичності та формування оборонної свідомості.</w:t>
      </w:r>
    </w:p>
    <w:p w14:paraId="1603EB10" w14:textId="2A0A7B30"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Мережа галузі «Освіта» Петрівської селищної ради налічує 10 закладів дошкільної освіти, 7 установ загальної середньої освіти, </w:t>
      </w:r>
      <w:r w:rsidR="00274B7D">
        <w:rPr>
          <w:rFonts w:ascii="Times New Roman" w:hAnsi="Times New Roman" w:cs="Times New Roman"/>
          <w:bCs/>
          <w:sz w:val="24"/>
          <w:szCs w:val="24"/>
          <w:lang w:val="uk-UA"/>
        </w:rPr>
        <w:t>к</w:t>
      </w:r>
      <w:r w:rsidRPr="00C764AC">
        <w:rPr>
          <w:rFonts w:ascii="Times New Roman" w:hAnsi="Times New Roman" w:cs="Times New Roman"/>
          <w:bCs/>
          <w:sz w:val="24"/>
          <w:szCs w:val="24"/>
          <w:lang w:val="uk-UA"/>
        </w:rPr>
        <w:t xml:space="preserve">омунальний заклад «Петрівський центр дитячої та юнацької творчості» </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1 установа, </w:t>
      </w:r>
      <w:r w:rsidR="00274B7D">
        <w:rPr>
          <w:rFonts w:ascii="Times New Roman" w:hAnsi="Times New Roman" w:cs="Times New Roman"/>
          <w:bCs/>
          <w:sz w:val="24"/>
          <w:szCs w:val="24"/>
          <w:lang w:val="uk-UA"/>
        </w:rPr>
        <w:t>к</w:t>
      </w:r>
      <w:r w:rsidRPr="00C764AC">
        <w:rPr>
          <w:rFonts w:ascii="Times New Roman" w:hAnsi="Times New Roman" w:cs="Times New Roman"/>
          <w:bCs/>
          <w:sz w:val="24"/>
          <w:szCs w:val="24"/>
          <w:lang w:val="uk-UA"/>
        </w:rPr>
        <w:t xml:space="preserve">омунальна установа «Петрівський </w:t>
      </w:r>
      <w:proofErr w:type="spellStart"/>
      <w:r w:rsidRPr="00C764AC">
        <w:rPr>
          <w:rFonts w:ascii="Times New Roman" w:hAnsi="Times New Roman" w:cs="Times New Roman"/>
          <w:bCs/>
          <w:sz w:val="24"/>
          <w:szCs w:val="24"/>
          <w:lang w:val="uk-UA"/>
        </w:rPr>
        <w:t>інклюзивно</w:t>
      </w:r>
      <w:proofErr w:type="spellEnd"/>
      <w:r w:rsidRPr="00C764AC">
        <w:rPr>
          <w:rFonts w:ascii="Times New Roman" w:hAnsi="Times New Roman" w:cs="Times New Roman"/>
          <w:bCs/>
          <w:sz w:val="24"/>
          <w:szCs w:val="24"/>
          <w:lang w:val="uk-UA"/>
        </w:rPr>
        <w:t xml:space="preserve">-ресурсний центр» Петрівської селищної ради </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1 установа, </w:t>
      </w:r>
      <w:r w:rsidR="00274B7D">
        <w:rPr>
          <w:rFonts w:ascii="Times New Roman" w:hAnsi="Times New Roman" w:cs="Times New Roman"/>
          <w:bCs/>
          <w:sz w:val="24"/>
          <w:szCs w:val="24"/>
          <w:lang w:val="uk-UA"/>
        </w:rPr>
        <w:t>к</w:t>
      </w:r>
      <w:r w:rsidRPr="00C764AC">
        <w:rPr>
          <w:rFonts w:ascii="Times New Roman" w:hAnsi="Times New Roman" w:cs="Times New Roman"/>
          <w:bCs/>
          <w:sz w:val="24"/>
          <w:szCs w:val="24"/>
          <w:lang w:val="uk-UA"/>
        </w:rPr>
        <w:t xml:space="preserve">омунальний заклад «Петрівська музична школа» </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1 установа та </w:t>
      </w:r>
      <w:r w:rsidR="00274B7D">
        <w:rPr>
          <w:rFonts w:ascii="Times New Roman" w:hAnsi="Times New Roman" w:cs="Times New Roman"/>
          <w:bCs/>
          <w:sz w:val="24"/>
          <w:szCs w:val="24"/>
          <w:lang w:val="uk-UA"/>
        </w:rPr>
        <w:t>к</w:t>
      </w:r>
      <w:r w:rsidRPr="00C764AC">
        <w:rPr>
          <w:rFonts w:ascii="Times New Roman" w:hAnsi="Times New Roman" w:cs="Times New Roman"/>
          <w:bCs/>
          <w:sz w:val="24"/>
          <w:szCs w:val="24"/>
          <w:lang w:val="uk-UA"/>
        </w:rPr>
        <w:t>омунальний заклад «</w:t>
      </w:r>
      <w:proofErr w:type="spellStart"/>
      <w:r w:rsidRPr="00C764AC">
        <w:rPr>
          <w:rFonts w:ascii="Times New Roman" w:hAnsi="Times New Roman" w:cs="Times New Roman"/>
          <w:bCs/>
          <w:sz w:val="24"/>
          <w:szCs w:val="24"/>
          <w:lang w:val="uk-UA"/>
        </w:rPr>
        <w:t>Новостародубська</w:t>
      </w:r>
      <w:proofErr w:type="spellEnd"/>
      <w:r w:rsidRPr="00C764AC">
        <w:rPr>
          <w:rFonts w:ascii="Times New Roman" w:hAnsi="Times New Roman" w:cs="Times New Roman"/>
          <w:bCs/>
          <w:sz w:val="24"/>
          <w:szCs w:val="24"/>
          <w:lang w:val="uk-UA"/>
        </w:rPr>
        <w:t xml:space="preserve"> музична школа» </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1 установа.</w:t>
      </w:r>
    </w:p>
    <w:p w14:paraId="2F5D881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323B0545" w14:textId="77777777" w:rsidR="00C764AC" w:rsidRDefault="00C764AC" w:rsidP="00274B7D">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lastRenderedPageBreak/>
        <w:t>Охорона здоров’я</w:t>
      </w:r>
    </w:p>
    <w:p w14:paraId="403E4780" w14:textId="77777777" w:rsidR="00274B7D" w:rsidRPr="00C764AC" w:rsidRDefault="00274B7D" w:rsidP="00274B7D">
      <w:pPr>
        <w:spacing w:after="0" w:line="240" w:lineRule="auto"/>
        <w:ind w:firstLine="567"/>
        <w:contextualSpacing/>
        <w:rPr>
          <w:rFonts w:ascii="Times New Roman" w:hAnsi="Times New Roman" w:cs="Times New Roman"/>
          <w:bCs/>
          <w:sz w:val="24"/>
          <w:szCs w:val="24"/>
          <w:lang w:val="uk-UA"/>
        </w:rPr>
      </w:pPr>
    </w:p>
    <w:p w14:paraId="1D45E7E8" w14:textId="26CA618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Ключовий і незмінний пріоритет розвитку галузі </w:t>
      </w:r>
      <w:r w:rsidR="00274B7D">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забезпечення для населення доступної, якісної і безоплатної медичної допомоги.  </w:t>
      </w:r>
    </w:p>
    <w:p w14:paraId="1DDE7FD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Планування потреб галузі охорони здоров’я на середньострокову перспективу здійснюватиметься із урахуванням об’єктивних потреб населення в медичних послугах в умовах воєнного та післявоєнного стану, з урахуванням демографічних і міграційних процесів.</w:t>
      </w:r>
    </w:p>
    <w:p w14:paraId="7BDACBF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Необхідно зосередити увагу на адаптації медичних послуг до нових викликів сьогодення. Такі зусилля передбачають забезпечення доступу до медичних послуг для цивільного населення і військових, розвиток послуг для задоволення все більших потреб у фізичній та психологічній реабілітації та полегшенні повернення військових до цивільного життя.</w:t>
      </w:r>
    </w:p>
    <w:p w14:paraId="13CFCEC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Заходи з реалізації державної політики у сфері охорони здоров’я  на середньострокову перспективу базуватимуться на:</w:t>
      </w:r>
    </w:p>
    <w:p w14:paraId="263C4824" w14:textId="489CC262"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посиленні первинної медичної допомоги як економічно доцільного рівня медичної системи та розвитку профілактичного напряму за допомогою впровадження системи раннього виявлення хронічних захворювань, масштабування </w:t>
      </w:r>
      <w:proofErr w:type="spellStart"/>
      <w:r w:rsidRPr="00C764AC">
        <w:rPr>
          <w:rFonts w:ascii="Times New Roman" w:hAnsi="Times New Roman" w:cs="Times New Roman"/>
          <w:bCs/>
          <w:sz w:val="24"/>
          <w:szCs w:val="24"/>
          <w:lang w:val="uk-UA"/>
        </w:rPr>
        <w:t>скринінгових</w:t>
      </w:r>
      <w:proofErr w:type="spellEnd"/>
      <w:r w:rsidRPr="00C764AC">
        <w:rPr>
          <w:rFonts w:ascii="Times New Roman" w:hAnsi="Times New Roman" w:cs="Times New Roman"/>
          <w:bCs/>
          <w:sz w:val="24"/>
          <w:szCs w:val="24"/>
          <w:lang w:val="uk-UA"/>
        </w:rPr>
        <w:t xml:space="preserve"> програм, зокрема </w:t>
      </w:r>
      <w:proofErr w:type="spellStart"/>
      <w:r w:rsidRPr="00C764AC">
        <w:rPr>
          <w:rFonts w:ascii="Times New Roman" w:hAnsi="Times New Roman" w:cs="Times New Roman"/>
          <w:bCs/>
          <w:sz w:val="24"/>
          <w:szCs w:val="24"/>
          <w:lang w:val="uk-UA"/>
        </w:rPr>
        <w:t>онкоскринінгу</w:t>
      </w:r>
      <w:proofErr w:type="spellEnd"/>
      <w:r w:rsidRPr="00C764AC">
        <w:rPr>
          <w:rFonts w:ascii="Times New Roman" w:hAnsi="Times New Roman" w:cs="Times New Roman"/>
          <w:bCs/>
          <w:sz w:val="24"/>
          <w:szCs w:val="24"/>
          <w:lang w:val="uk-UA"/>
        </w:rPr>
        <w:t>, та застосування сучасних методів ранньої діагностики;</w:t>
      </w:r>
    </w:p>
    <w:p w14:paraId="71A8481E"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roofErr w:type="spellStart"/>
      <w:r w:rsidRPr="00C764AC">
        <w:rPr>
          <w:rFonts w:ascii="Times New Roman" w:hAnsi="Times New Roman" w:cs="Times New Roman"/>
          <w:bCs/>
          <w:sz w:val="24"/>
          <w:szCs w:val="24"/>
          <w:lang w:val="uk-UA"/>
        </w:rPr>
        <w:t>пріоритезації</w:t>
      </w:r>
      <w:proofErr w:type="spellEnd"/>
      <w:r w:rsidRPr="00C764AC">
        <w:rPr>
          <w:rFonts w:ascii="Times New Roman" w:hAnsi="Times New Roman" w:cs="Times New Roman"/>
          <w:bCs/>
          <w:sz w:val="24"/>
          <w:szCs w:val="24"/>
          <w:lang w:val="uk-UA"/>
        </w:rPr>
        <w:t xml:space="preserve"> медичних послуг відповідно до актуальних викликів, зокрема з особливою увагою до розвитку реабілітаційних послуг, надання психологічної допомоги тощо;</w:t>
      </w:r>
    </w:p>
    <w:p w14:paraId="5FE3AC32" w14:textId="40DA11AD"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фінансовому захисті пацієнтів із хронічними захворюваннями за допомогою підвищення доступності до пріоритетних лікарських засобів, зокрема для лікування болю, серцево-судинних і онкологічних </w:t>
      </w:r>
      <w:proofErr w:type="spellStart"/>
      <w:r w:rsidRPr="00C764AC">
        <w:rPr>
          <w:rFonts w:ascii="Times New Roman" w:hAnsi="Times New Roman" w:cs="Times New Roman"/>
          <w:bCs/>
          <w:sz w:val="24"/>
          <w:szCs w:val="24"/>
          <w:lang w:val="uk-UA"/>
        </w:rPr>
        <w:t>хвороб</w:t>
      </w:r>
      <w:proofErr w:type="spellEnd"/>
      <w:r w:rsidRPr="00C764AC">
        <w:rPr>
          <w:rFonts w:ascii="Times New Roman" w:hAnsi="Times New Roman" w:cs="Times New Roman"/>
          <w:bCs/>
          <w:sz w:val="24"/>
          <w:szCs w:val="24"/>
          <w:lang w:val="uk-UA"/>
        </w:rPr>
        <w:t xml:space="preserve">, для запобігання ускладнень, зниження </w:t>
      </w:r>
      <w:proofErr w:type="spellStart"/>
      <w:r w:rsidRPr="00C764AC">
        <w:rPr>
          <w:rFonts w:ascii="Times New Roman" w:hAnsi="Times New Roman" w:cs="Times New Roman"/>
          <w:bCs/>
          <w:sz w:val="24"/>
          <w:szCs w:val="24"/>
          <w:lang w:val="uk-UA"/>
        </w:rPr>
        <w:t>інвалідизації</w:t>
      </w:r>
      <w:proofErr w:type="spellEnd"/>
      <w:r w:rsidRPr="00C764AC">
        <w:rPr>
          <w:rFonts w:ascii="Times New Roman" w:hAnsi="Times New Roman" w:cs="Times New Roman"/>
          <w:bCs/>
          <w:sz w:val="24"/>
          <w:szCs w:val="24"/>
          <w:lang w:val="uk-UA"/>
        </w:rPr>
        <w:t xml:space="preserve"> і втрати працездатності;</w:t>
      </w:r>
    </w:p>
    <w:p w14:paraId="3C51D96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підвищення якості допомоги у невідкладних станах для зниження рівня передчасної смертності та забезпечення своєчасного реагування у критичних ситуаціях;</w:t>
      </w:r>
    </w:p>
    <w:p w14:paraId="2B0DF2B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забезпеченні готовності до реагування на епідемії, інфекційні захворювання та надзвичайні ситуації;</w:t>
      </w:r>
    </w:p>
    <w:p w14:paraId="512586C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до оснащення комунальних некомерційних підприємств сучасним лікувально-діагностичним обладнанням;</w:t>
      </w:r>
    </w:p>
    <w:p w14:paraId="27B0B63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проведення поточних і капітальних ремонтів приміщень медичних закладів.</w:t>
      </w:r>
    </w:p>
    <w:p w14:paraId="414B5D1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території громади функціонують 2 комунальних некомерційних підприємств охорони здоров’я: КНП «Петрівська центральна лікарня», КНП «Петрівський центр первинної медико-санітарної допомоги» Петрівської селищної ради.</w:t>
      </w:r>
    </w:p>
    <w:p w14:paraId="033EC73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Граничний обсяг видатків головним розпорядником бюджетних коштів направлено на реалізацію наступних бюджетних програм:</w:t>
      </w:r>
    </w:p>
    <w:p w14:paraId="1A6C9777" w14:textId="7D7A043B"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КПКВМБ 2010 «Багатопрофільна стаціонарна медична допомога населенню» </w:t>
      </w:r>
      <w:r w:rsidR="00F14C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реалізує 1 установа Комунальне некомерційне підприємство «Петрівська центральна лікарня» Петрівської селищної ради;</w:t>
      </w:r>
    </w:p>
    <w:p w14:paraId="52FB82F4" w14:textId="456BC8D8"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КПКВМБ  2111 «Первинна медична допомога населенню, що надається центрами первинної медичної (медико-санітарної) допомоги» </w:t>
      </w:r>
      <w:r w:rsidR="00F14C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реалізує 1 установа Комунальне некомерційне підприємство «Петрівський центр первинної медико-санітарної допомоги» Петрівської селищної ради, який утримує фельдшерсько-акушерські пункти (19 закладів), амбулаторії загальної практики – сімейної медицини (5 закладів) та сільські лікарські амбулаторії (2 заклади).</w:t>
      </w:r>
    </w:p>
    <w:p w14:paraId="15DBA981" w14:textId="4D5A690A"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Основні результати, яких планується досягти  - </w:t>
      </w:r>
      <w:r w:rsidRPr="00C764AC">
        <w:rPr>
          <w:rFonts w:ascii="Times New Roman" w:hAnsi="Times New Roman" w:cs="Times New Roman"/>
          <w:bCs/>
          <w:sz w:val="24"/>
          <w:szCs w:val="24"/>
        </w:rPr>
        <w:t> </w:t>
      </w:r>
      <w:r w:rsidRPr="00C764AC">
        <w:rPr>
          <w:rFonts w:ascii="Times New Roman" w:hAnsi="Times New Roman" w:cs="Times New Roman"/>
          <w:bCs/>
          <w:sz w:val="24"/>
          <w:szCs w:val="24"/>
          <w:lang w:val="uk-UA"/>
        </w:rPr>
        <w:t xml:space="preserve">підвищення якості та доступності медичного обслуговування цивільного населення та військових, впровадження нових підходів до організації роботи медичних закладів, зміцнення здоров'я населення, </w:t>
      </w:r>
      <w:proofErr w:type="spellStart"/>
      <w:r w:rsidRPr="00C764AC">
        <w:rPr>
          <w:rFonts w:ascii="Times New Roman" w:hAnsi="Times New Roman" w:cs="Times New Roman"/>
          <w:bCs/>
          <w:sz w:val="24"/>
          <w:szCs w:val="24"/>
          <w:lang w:val="uk-UA"/>
        </w:rPr>
        <w:t>цифровізація</w:t>
      </w:r>
      <w:proofErr w:type="spellEnd"/>
      <w:r w:rsidRPr="00C764AC">
        <w:rPr>
          <w:rFonts w:ascii="Times New Roman" w:hAnsi="Times New Roman" w:cs="Times New Roman"/>
          <w:bCs/>
          <w:sz w:val="24"/>
          <w:szCs w:val="24"/>
          <w:lang w:val="uk-UA"/>
        </w:rPr>
        <w:t xml:space="preserve"> процесів у сфері охорони здоров’я для формування якісно нового переліку даних, що є </w:t>
      </w:r>
      <w:proofErr w:type="spellStart"/>
      <w:r w:rsidRPr="00C764AC">
        <w:rPr>
          <w:rFonts w:ascii="Times New Roman" w:hAnsi="Times New Roman" w:cs="Times New Roman"/>
          <w:bCs/>
          <w:sz w:val="24"/>
          <w:szCs w:val="24"/>
          <w:lang w:val="uk-UA"/>
        </w:rPr>
        <w:t>криточно</w:t>
      </w:r>
      <w:proofErr w:type="spellEnd"/>
      <w:r w:rsidRPr="00C764AC">
        <w:rPr>
          <w:rFonts w:ascii="Times New Roman" w:hAnsi="Times New Roman" w:cs="Times New Roman"/>
          <w:bCs/>
          <w:sz w:val="24"/>
          <w:szCs w:val="24"/>
          <w:lang w:val="uk-UA"/>
        </w:rPr>
        <w:t xml:space="preserve"> важливими для прогнозування, планування, моніторингу якості </w:t>
      </w:r>
      <w:r w:rsidRPr="00C764AC">
        <w:rPr>
          <w:rFonts w:ascii="Times New Roman" w:hAnsi="Times New Roman" w:cs="Times New Roman"/>
          <w:bCs/>
          <w:sz w:val="24"/>
          <w:szCs w:val="24"/>
          <w:lang w:val="uk-UA"/>
        </w:rPr>
        <w:lastRenderedPageBreak/>
        <w:t>надання медичної допомоги, а також забезпечення фінансової стабільності системи охорони здоров</w:t>
      </w:r>
      <w:r w:rsidR="00F14C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я. </w:t>
      </w:r>
    </w:p>
    <w:p w14:paraId="27026BB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Головними аспектами в галузі охорони здоров’я є гендерна рівність у доступі до медичних послуг для всіх мешканців громади, незалежно від статі, віку, стану здоров’я, соціального статусу чи місця проживання. Це передбачає забезпечення безоплатними лікарськими засобами, харчуванням, надання стаціонарної та амбулаторної медичної допомоги ветеранам та </w:t>
      </w:r>
      <w:proofErr w:type="spellStart"/>
      <w:r w:rsidRPr="00C764AC">
        <w:rPr>
          <w:rFonts w:ascii="Times New Roman" w:hAnsi="Times New Roman" w:cs="Times New Roman"/>
          <w:bCs/>
          <w:sz w:val="24"/>
          <w:szCs w:val="24"/>
          <w:lang w:val="uk-UA"/>
        </w:rPr>
        <w:t>ветеранкам</w:t>
      </w:r>
      <w:proofErr w:type="spellEnd"/>
      <w:r w:rsidRPr="00C764AC">
        <w:rPr>
          <w:rFonts w:ascii="Times New Roman" w:hAnsi="Times New Roman" w:cs="Times New Roman"/>
          <w:bCs/>
          <w:sz w:val="24"/>
          <w:szCs w:val="24"/>
          <w:lang w:val="uk-UA"/>
        </w:rPr>
        <w:t xml:space="preserve"> війни, членам їх сімей.</w:t>
      </w:r>
    </w:p>
    <w:p w14:paraId="68CB71D6" w14:textId="207C751C"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Так, у 2025 році в медичних закладах громади проліковано у стаціонарах 4021 хворих, з них 38 ветеранів війни та членів їх сімей, 64413  пацієнтів отримали первинну медико-санітарну допомогу, з них 55,4 % жінок; кількість дітей, які перебувають на обліку в лікарів – педіатрів центру становить 50 осіб, з них: 64% хлопчики та 36% дівчатка.</w:t>
      </w:r>
    </w:p>
    <w:p w14:paraId="5FDB119B" w14:textId="61A569CB"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723F529A" w14:textId="77777777" w:rsidR="00C764AC" w:rsidRDefault="00C764AC" w:rsidP="00F14C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Соціальний захист та соціальне забезпечення</w:t>
      </w:r>
    </w:p>
    <w:p w14:paraId="08E2129F" w14:textId="77777777" w:rsidR="00F14CD5" w:rsidRPr="00C764AC" w:rsidRDefault="00F14CD5" w:rsidP="00F14CD5">
      <w:pPr>
        <w:spacing w:after="0" w:line="240" w:lineRule="auto"/>
        <w:ind w:firstLine="567"/>
        <w:contextualSpacing/>
        <w:rPr>
          <w:rFonts w:ascii="Times New Roman" w:hAnsi="Times New Roman" w:cs="Times New Roman"/>
          <w:bCs/>
          <w:sz w:val="24"/>
          <w:szCs w:val="24"/>
          <w:lang w:val="uk-UA"/>
        </w:rPr>
      </w:pPr>
    </w:p>
    <w:p w14:paraId="0250E259" w14:textId="0D27D81D"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Пріоритетними завданнями у сфері соціального захисту та соціального забезпечення на середньостроковий період є реалізація державної політики у сфері надання соціальних послуг, соціального захисту, соціальна підтримка малозабезпечених та осіб у складних життєвих обставинах, посилення соціальної підтримки ветеранів війни, членів сімей таких осіб і членів сімей загиблих (померлих), застосування гендерного підходу, який передбачає використання найбільш ефективних і результативних засобів для задоволення потреб жінок та чоловіків різних вікових і соціальних груп, а також забезпечення </w:t>
      </w:r>
      <w:proofErr w:type="spellStart"/>
      <w:r w:rsidRPr="00C764AC">
        <w:rPr>
          <w:rFonts w:ascii="Times New Roman" w:hAnsi="Times New Roman" w:cs="Times New Roman"/>
          <w:bCs/>
          <w:sz w:val="24"/>
          <w:szCs w:val="24"/>
          <w:lang w:val="uk-UA"/>
        </w:rPr>
        <w:t>безбар</w:t>
      </w:r>
      <w:r w:rsidR="00F14CD5" w:rsidRPr="00C764AC">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єрної</w:t>
      </w:r>
      <w:proofErr w:type="spellEnd"/>
      <w:r w:rsidRPr="00C764AC">
        <w:rPr>
          <w:rFonts w:ascii="Times New Roman" w:hAnsi="Times New Roman" w:cs="Times New Roman"/>
          <w:bCs/>
          <w:sz w:val="24"/>
          <w:szCs w:val="24"/>
          <w:lang w:val="uk-UA"/>
        </w:rPr>
        <w:t xml:space="preserve"> інтеграції.</w:t>
      </w:r>
    </w:p>
    <w:p w14:paraId="7408224E" w14:textId="712622EF"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граничні показники бюджету Петрівської селищної територіальної громади по видаткам на фінансування галузі «Соціальний захист та соціальне забезпечення» на 2027-2029 роки реалізуються головним розпорядником бюджетних коштів – відділом соціального захисту населення Петрівської селищної ради.</w:t>
      </w:r>
    </w:p>
    <w:p w14:paraId="77191075" w14:textId="56992D51"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За рахунок коштів бюджету селищної територіальної громади у середньостроковому періоді планується утримувати 2 установи </w:t>
      </w:r>
      <w:r w:rsidR="00F14C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w:t>
      </w:r>
      <w:r w:rsidR="00F14CD5">
        <w:rPr>
          <w:rFonts w:ascii="Times New Roman" w:hAnsi="Times New Roman" w:cs="Times New Roman"/>
          <w:bCs/>
          <w:sz w:val="24"/>
          <w:szCs w:val="24"/>
          <w:lang w:val="uk-UA"/>
        </w:rPr>
        <w:t>в</w:t>
      </w:r>
      <w:r w:rsidRPr="00C764AC">
        <w:rPr>
          <w:rFonts w:ascii="Times New Roman" w:hAnsi="Times New Roman" w:cs="Times New Roman"/>
          <w:bCs/>
          <w:sz w:val="24"/>
          <w:szCs w:val="24"/>
          <w:lang w:val="uk-UA"/>
        </w:rPr>
        <w:t xml:space="preserve">ідділ соціального захисту населення Петрівської селищної ради та </w:t>
      </w:r>
      <w:r w:rsidR="00F14CD5">
        <w:rPr>
          <w:rFonts w:ascii="Times New Roman" w:hAnsi="Times New Roman" w:cs="Times New Roman"/>
          <w:bCs/>
          <w:sz w:val="24"/>
          <w:szCs w:val="24"/>
          <w:lang w:val="uk-UA"/>
        </w:rPr>
        <w:t>к</w:t>
      </w:r>
      <w:r w:rsidRPr="00C764AC">
        <w:rPr>
          <w:rFonts w:ascii="Times New Roman" w:hAnsi="Times New Roman" w:cs="Times New Roman"/>
          <w:bCs/>
          <w:sz w:val="24"/>
          <w:szCs w:val="24"/>
          <w:lang w:val="uk-UA"/>
        </w:rPr>
        <w:t>омунальна установа «Центр надання соціальних послуг» Петрівської селищної ради.</w:t>
      </w:r>
    </w:p>
    <w:p w14:paraId="17994EA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Крім того, на 2027-2029 роки плануються видатки на реалізацію селищних програм соціального захисту та соціальної підтримки окремих категорій населення громади, комплексна соціальна підтримка ветеранів війни, членів їх сімей, членів сімей загиблих (померлих) ветеранів війни, членів сімей загиблих (померлих) Захисників і Захисниць України.</w:t>
      </w:r>
    </w:p>
    <w:p w14:paraId="6F6BBAD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Завданнями на 2027-2029 роки є:</w:t>
      </w:r>
    </w:p>
    <w:p w14:paraId="12EB468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оздоровлення дітей, які потребують особливої соціальної уваги та підтримки;</w:t>
      </w:r>
    </w:p>
    <w:p w14:paraId="66FCCDD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компенсаційні виплати на пільговий проїзд окремих категорій громадян;</w:t>
      </w:r>
    </w:p>
    <w:p w14:paraId="0B72223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прозорості та доступності в отриманні соціальних послуг та соціальної підтримки незахищених верств населення;</w:t>
      </w:r>
    </w:p>
    <w:p w14:paraId="3497D27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умов для надання всебічної соціальної допомоги найбільш вразливим верствам населення;</w:t>
      </w:r>
    </w:p>
    <w:p w14:paraId="3F727022"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сприяння підвищенню рівня соціальної захищеності населення, підтримки ветеранів війни, інвалідів, потерпілих від наслідків аварії на ЧАЕС;</w:t>
      </w:r>
    </w:p>
    <w:p w14:paraId="24448BB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максимальної адресності та наближеності надання відповідної соціальної підтримки тим, хто її потребує;</w:t>
      </w:r>
    </w:p>
    <w:p w14:paraId="74B0AA4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належної реалізації прав захисників України, створення ефективної системи переходу від військової служби до цивільного життя, а також сприяння їхньому соціальному, економічному та культурному інтегруванню в суспільство.</w:t>
      </w:r>
    </w:p>
    <w:p w14:paraId="3880FB2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Основні результати, яких планується досягти:</w:t>
      </w:r>
    </w:p>
    <w:p w14:paraId="472FB1C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охоплення соціальним захистом максимальної кількості сімей та малозабезпечених громадян, які потребують підтримки, у тому числі ветеранів війни та членів їх сімей;   </w:t>
      </w:r>
    </w:p>
    <w:p w14:paraId="0BC4ECE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створення умов для рівного доступу до соціальних послуг та можливостей для всіх членів суспільства, включаючи осіб з інвалідністю та інші маломобільні групи;</w:t>
      </w:r>
    </w:p>
    <w:p w14:paraId="1CC01A5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забезпечення всебічної підтримки та соціального захисту учасникам бойових дій та членам їх сімей, що сприятиме вирішенню інших соціально-побутових питань.  </w:t>
      </w:r>
    </w:p>
    <w:p w14:paraId="10BED0E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Гендерні аспекти в галузі соціального захисту та соціального забезпечення враховують особливості надання соціальних послуг та підтримки, враховуючи різні потреби та досвід чоловіків та жінок. Це передбачає врахування гендерних особливостей та потреб населення в отриманні матеріальної допомоги, реабілітаційних і соціальних послуг, послуг з тимчасового проживання сімей з числа внутрішньо переміщених осіб. </w:t>
      </w:r>
    </w:p>
    <w:p w14:paraId="0360CCDE" w14:textId="59BA7B93"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Так, у 2025 році надано грошову допомогу 991 особі, з них: 419 жінок (42,3%) та 572 чоловіків (57,7%); 1599 осіб отримали соціальні послуги, з них: 890 жінок (55,7%), 328 чоловіків (20,5%), 220 хлопчиків (13,8%) та 161 дівчинка (10,6%). </w:t>
      </w:r>
    </w:p>
    <w:p w14:paraId="33A014C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Із 2 установ та закладів соціального захисту 100% будівель обладнані пандусами або мають вільний доступ (без сходів) до приміщень.</w:t>
      </w:r>
    </w:p>
    <w:p w14:paraId="1F4AC02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11B9B305" w14:textId="77777777" w:rsidR="00C764AC" w:rsidRDefault="00C764AC" w:rsidP="00F14C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Культура і мистецтво</w:t>
      </w:r>
    </w:p>
    <w:p w14:paraId="52050B8D" w14:textId="77777777" w:rsidR="00F14CD5" w:rsidRPr="00C764AC" w:rsidRDefault="00F14CD5" w:rsidP="00F14CD5">
      <w:pPr>
        <w:spacing w:after="0" w:line="240" w:lineRule="auto"/>
        <w:ind w:firstLine="567"/>
        <w:contextualSpacing/>
        <w:rPr>
          <w:rFonts w:ascii="Times New Roman" w:hAnsi="Times New Roman" w:cs="Times New Roman"/>
          <w:bCs/>
          <w:sz w:val="24"/>
          <w:szCs w:val="24"/>
          <w:lang w:val="uk-UA"/>
        </w:rPr>
      </w:pPr>
    </w:p>
    <w:p w14:paraId="1C15720D" w14:textId="269914AA"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У сфері культура і мистецтво пріоритетними цілями на середньостроковий період визначено комплекс заходів</w:t>
      </w:r>
      <w:r w:rsidR="00F14C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спрямований на розвиток культури української нації, збереження, відтворення та охорону історичного середовища, естетичного виховання громадян, передусім дітей та юнацтва, посилення освітнього, інноваційного та комунікаційного потенціалу культури.</w:t>
      </w:r>
    </w:p>
    <w:p w14:paraId="7DC52F24" w14:textId="1406EAA5"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На місцевому рівні головний розпорядник бюджетних коштів </w:t>
      </w:r>
      <w:r w:rsidR="00F14C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відділ культури, туризму, молоді та спорту Петрівської селищної ради здійснює реалізацію цілей державної та місцевої політики:</w:t>
      </w:r>
    </w:p>
    <w:p w14:paraId="10AE70C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Пріоритетами розвитку у цій сфері є збереження, відтворення та примноження духовних та культурних здобутків жителів громади, забезпечення функціонування закладів культури Петрівської селищної ради.</w:t>
      </w:r>
    </w:p>
    <w:p w14:paraId="0F29C0D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граничні показники бюджету селищної територіальної громади головним розпорядником бюджетних коштів розподілені на реалізацію наступних бюджетних програм, а саме:</w:t>
      </w:r>
    </w:p>
    <w:p w14:paraId="4FD7A835" w14:textId="6FC67B42"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КПКВ 4030 «Забезпечення діяльності бібліотек» на утримання 20 закладів;</w:t>
      </w:r>
    </w:p>
    <w:p w14:paraId="1F5CEA9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КПКВ 4040 «Забезпечення діяльності музеїв i виставок» на утримання 1 краєзнавчого музею;</w:t>
      </w:r>
    </w:p>
    <w:p w14:paraId="4AA1A8C8" w14:textId="2C7378A8"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КПКВ 4060 «Забезпечення діяльності палаців i будинків культури, клубів, центрів дозвілля та </w:t>
      </w:r>
      <w:proofErr w:type="spellStart"/>
      <w:r w:rsidRPr="00C764AC">
        <w:rPr>
          <w:rFonts w:ascii="Times New Roman" w:hAnsi="Times New Roman" w:cs="Times New Roman"/>
          <w:bCs/>
          <w:sz w:val="24"/>
          <w:szCs w:val="24"/>
          <w:lang w:val="uk-UA"/>
        </w:rPr>
        <w:t>iнших</w:t>
      </w:r>
      <w:proofErr w:type="spellEnd"/>
      <w:r w:rsidRPr="00C764AC">
        <w:rPr>
          <w:rFonts w:ascii="Times New Roman" w:hAnsi="Times New Roman" w:cs="Times New Roman"/>
          <w:bCs/>
          <w:sz w:val="24"/>
          <w:szCs w:val="24"/>
          <w:lang w:val="uk-UA"/>
        </w:rPr>
        <w:t xml:space="preserve"> клубних закладів» на утримання 18 закладів;</w:t>
      </w:r>
    </w:p>
    <w:p w14:paraId="36D4E46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КПКВ 4082 «Інші заходи в галузі культури і мистецтва» на проведення культурно-мистецьких заходів державного та місцевого значення.</w:t>
      </w:r>
    </w:p>
    <w:p w14:paraId="204A7AB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Протягом 2027-2029 років планується досягти наступних результатів:</w:t>
      </w:r>
    </w:p>
    <w:p w14:paraId="6453772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економічних і соціальних гарантій для професійної самореалізації працівників культури, підвищення їх соціального статусу, професійного рівня, фахової майстерності;</w:t>
      </w:r>
    </w:p>
    <w:p w14:paraId="710F12D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збереження національної культурної спадщини, рухомих та нерухомих пам’яток і цінностей, музею, як основи національної культури;</w:t>
      </w:r>
    </w:p>
    <w:p w14:paraId="6A52D61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оптимальних умов для реалізації бібліотеками своїх соціальних функцій, забезпечення літературою та підвищення їх ролі як інформаційно-культурних центрів;</w:t>
      </w:r>
    </w:p>
    <w:p w14:paraId="06EC004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сучасної матеріально-технічної бази закладів культури, розширення їх функцій, збільшення відвідуваності, вільний доступ жителів громади до інформаційних ресурсів.</w:t>
      </w:r>
    </w:p>
    <w:p w14:paraId="26D482E9" w14:textId="48328491"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Гендерна сегрегація в галузі культури і мистецтва за статевою ознакою спостерігається у всіх її напрямках, а саме як з боку надавача послуг, так і користувача. Наприклад, серед відвідувачів музеїв і бібліотек, як і серед працівників, переважають жінки. В частині </w:t>
      </w:r>
      <w:r w:rsidRPr="00C764AC">
        <w:rPr>
          <w:rFonts w:ascii="Times New Roman" w:hAnsi="Times New Roman" w:cs="Times New Roman"/>
          <w:bCs/>
          <w:sz w:val="24"/>
          <w:szCs w:val="24"/>
          <w:lang w:val="uk-UA"/>
        </w:rPr>
        <w:lastRenderedPageBreak/>
        <w:t xml:space="preserve">доступності для інклюзивних верств населення із 41 будівлі закладів культури 28 обладнані пандусами і 3 – кнопками виклику персоналу. Крім того, усі заклади культури громади під’єднані до мережі інтернет, завдяки чому люди з обмеженими фізичними можливостями мають змогу отримувати інформацію у будь-який час. </w:t>
      </w:r>
    </w:p>
    <w:p w14:paraId="41AEDE9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6C9D23CF" w14:textId="77777777" w:rsidR="00C764AC"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Фізична культура і спорт</w:t>
      </w:r>
    </w:p>
    <w:p w14:paraId="2DB509B2" w14:textId="77777777" w:rsidR="008077D5" w:rsidRPr="00C764AC" w:rsidRDefault="008077D5" w:rsidP="008077D5">
      <w:pPr>
        <w:spacing w:after="0" w:line="240" w:lineRule="auto"/>
        <w:ind w:firstLine="567"/>
        <w:contextualSpacing/>
        <w:rPr>
          <w:rFonts w:ascii="Times New Roman" w:hAnsi="Times New Roman" w:cs="Times New Roman"/>
          <w:bCs/>
          <w:sz w:val="24"/>
          <w:szCs w:val="24"/>
          <w:lang w:val="uk-UA"/>
        </w:rPr>
      </w:pPr>
    </w:p>
    <w:p w14:paraId="6373B2C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Пріоритетними завданнями у сфері фізичної культури та спорту, які реалізує відділ культури, туризму, молоді та спорту Петрівської селищної ради є визначення та забезпечення реалізації першочергових та перспективних заходів для задоволення потреб кожного жителя громади у зміцненні здоров’я, фізичному та духовному розвитку, створення необхідних умов для залучення широких верств населення до масового спорту, популяризації здорового способу життя, фізичної культури та спорту, розвиток здібностей обдарованої молоді у дитячо-юнацькому спорті, розвиток спорту ветеранів війни.</w:t>
      </w:r>
    </w:p>
    <w:p w14:paraId="689F9DB7" w14:textId="1541AD76"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граничні показники видатків головним розпорядником коштів направлені на КПКВ 5031 «Розвиток здібностей у дітей та молоді з фізичної культури та спорту комунальними дитячо-юнацькими спортивними школами» на утримання комунального закладу ДЮСШ «Олімп».</w:t>
      </w:r>
    </w:p>
    <w:p w14:paraId="4E72729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Протягом 2027-2029 років планується досягти наступних результатів:</w:t>
      </w:r>
    </w:p>
    <w:p w14:paraId="17A3B18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стимулів для оздоровчого способу життя й здорових умов праці шляхом розвитку інфраструктури для занять масовим спортом та активного відпочинку;</w:t>
      </w:r>
    </w:p>
    <w:p w14:paraId="7DDF30C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запровадження доступних, якісних та різноманітних форм оздоровчих і спортивних послуг для різних груп населення;</w:t>
      </w:r>
    </w:p>
    <w:p w14:paraId="765E67B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підвищення рівня залучення населення громади до занять фізичною культурою та спортом з метою зміцнення здоров’я та попередження захворювань.</w:t>
      </w:r>
    </w:p>
    <w:p w14:paraId="1EBD4D8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Гендерні аспекти в спортивній сфері торкаються питань рівності та справедливості між чоловіками та жінками, включаючи участь, можливості, представництво та ставлення. Спорт є тією сферою, в якій дуже відчутно проявляються соціальна зумовленість конструювання жіночності та мужності. Так, в дитячо-юнацькій спортивній школі громади 68% учнів чоловічої статі.</w:t>
      </w:r>
    </w:p>
    <w:p w14:paraId="5F5394C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Пріоритетами розвитку у цій сфері є всебічне фізичне виховання жителів Петрівської селищної територіальної громади.</w:t>
      </w:r>
    </w:p>
    <w:p w14:paraId="248039C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території громади функціонує 1 дитячо-юнацька спортивна школа «Олімп.</w:t>
      </w:r>
      <w:r w:rsidRPr="00C764AC">
        <w:rPr>
          <w:rFonts w:ascii="Times New Roman" w:hAnsi="Times New Roman" w:cs="Times New Roman"/>
          <w:bCs/>
          <w:sz w:val="24"/>
          <w:szCs w:val="24"/>
        </w:rPr>
        <w:t xml:space="preserve"> </w:t>
      </w:r>
      <w:r w:rsidRPr="00C764AC">
        <w:rPr>
          <w:rFonts w:ascii="Times New Roman" w:hAnsi="Times New Roman" w:cs="Times New Roman"/>
          <w:bCs/>
          <w:sz w:val="24"/>
          <w:szCs w:val="24"/>
          <w:lang w:val="uk-UA"/>
        </w:rPr>
        <w:t>Кількість учнів, яка навчається в даному закладі складає 250 осіб. Працюють групи з гандболу, футболу, легкої атлетики, кульової стрільби.</w:t>
      </w:r>
    </w:p>
    <w:p w14:paraId="6634DE0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
    <w:p w14:paraId="1535C959" w14:textId="77777777" w:rsidR="00C764AC"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Житлово-комунальне та дорожнє господарство</w:t>
      </w:r>
    </w:p>
    <w:p w14:paraId="3967F027" w14:textId="77777777" w:rsidR="008077D5" w:rsidRPr="00C764AC" w:rsidRDefault="008077D5" w:rsidP="008077D5">
      <w:pPr>
        <w:spacing w:after="0" w:line="240" w:lineRule="auto"/>
        <w:ind w:firstLine="567"/>
        <w:contextualSpacing/>
        <w:rPr>
          <w:rFonts w:ascii="Times New Roman" w:hAnsi="Times New Roman" w:cs="Times New Roman"/>
          <w:bCs/>
          <w:sz w:val="24"/>
          <w:szCs w:val="24"/>
          <w:lang w:val="uk-UA"/>
        </w:rPr>
      </w:pPr>
    </w:p>
    <w:p w14:paraId="4B7A0DE9" w14:textId="6374DA06"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Основним завданням у сфері житлово-комунального та дорожнього господарства в середньостроковій перспективі є створення сприятливого для життєдіяльності людини довкілля шляхом забезпечення підвищення рівня благоустрою громади та покращення стану інфраструктури автомобільних доріг, досягнення належної та безперебійної роботи об’єктів житлового фонду, досягнення належної та безперебійної роботи підприємств комунального господарства.  </w:t>
      </w:r>
    </w:p>
    <w:p w14:paraId="24746E6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Пріоритетними напрямками в цій галузі є проведення комплексу ремонтно-будівельних робіт направлених на поліпшення експлуатаційних показників об’єктів житлового фонду, забезпечення ефективної та безперебійної роботи комунальних підприємств, які є надавачами комунальних послуг населення для належного утримання об’єктів комунальної власності, збільшення обсягів робіт капітального ремонту житлового фонду, об’єктів благоустрою, поступова переорієнтація житлово-комунального господарства громади на енергоефективний шлях.</w:t>
      </w:r>
    </w:p>
    <w:p w14:paraId="21BD09B7" w14:textId="14DD1636"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lastRenderedPageBreak/>
        <w:t>У сфері дорожнього господарства у прогнозованому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громади, капітальний ремонт пішохідних доріжок, підвищення безпеки дорожнього руху.</w:t>
      </w:r>
    </w:p>
    <w:p w14:paraId="6C2A7B3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Основними завданнями та напрямами, за якими буде продовжено роботу в галузі житлово-комунального та дорожнього господарства протягом 2027-2029 років є: </w:t>
      </w:r>
    </w:p>
    <w:p w14:paraId="34C5964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безперебійного водопостачання та водовідведення та вирішення проблем ефективної та стабільної роботи житлово-комунального господарства в зимових умовах і здійснення контролю за аварійними ситуаціями на інженерних мережах у умовах воєнного стану;</w:t>
      </w:r>
    </w:p>
    <w:p w14:paraId="1B228BD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регулювання цін/тарифів на житлово-комунальні послуги у випадках, визначених законом, з урахуванням досягнутого рівня соціально-економічного розвитку;</w:t>
      </w:r>
    </w:p>
    <w:p w14:paraId="175B887B"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здійснення технічного переоснащення житлово-комунальних підприємств на основі впровадження енергоефективних технологій та обладнання, у тому числі установок, які працюють на альтернативних видах палива; </w:t>
      </w:r>
    </w:p>
    <w:p w14:paraId="2D8F943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покращення благоустрою населених пунктів, к тому числі: впорядкування прибудинкових територій, влаштування зелених зон для відпочинку, влаштування дитячих ігрових і спортивних майданчиків, утримання та ремонт мереж зовнішнього освітлення, створення місць для паркування автомобілів, встановлення урн, лавок, облаштування кладовищ, ліквідація несанкціонованих сміттєзвалищ.</w:t>
      </w:r>
    </w:p>
    <w:p w14:paraId="7835473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здійснення робіт з поточного ремонту та утримання в належному стані об’єктів загального користування, у тому числі: парків, скверів, тощо.</w:t>
      </w:r>
    </w:p>
    <w:p w14:paraId="2EFAB96A"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63A7F1A5" w14:textId="77777777" w:rsidR="00C764AC"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uk-UA"/>
        </w:rPr>
        <w:t>Інша діяльність</w:t>
      </w:r>
    </w:p>
    <w:p w14:paraId="0F910CFE" w14:textId="77777777" w:rsidR="008077D5" w:rsidRPr="00C764AC" w:rsidRDefault="008077D5" w:rsidP="008077D5">
      <w:pPr>
        <w:spacing w:after="0" w:line="240" w:lineRule="auto"/>
        <w:ind w:firstLine="567"/>
        <w:contextualSpacing/>
        <w:rPr>
          <w:rFonts w:ascii="Times New Roman" w:hAnsi="Times New Roman" w:cs="Times New Roman"/>
          <w:bCs/>
          <w:sz w:val="24"/>
          <w:szCs w:val="24"/>
          <w:lang w:val="uk-UA"/>
        </w:rPr>
      </w:pPr>
    </w:p>
    <w:p w14:paraId="3CEE347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середньостроковий період 2027-2029 років пріоритетними завданнями є:</w:t>
      </w:r>
    </w:p>
    <w:p w14:paraId="19606851"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організація ефективного управління у громаді при виникненні надзвичайної ситуації, а також в умовах воєнного стану в Україні;</w:t>
      </w:r>
    </w:p>
    <w:p w14:paraId="228EBB2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створення необхідного запасу матеріального резерву, товарів першої необхідності, а також здійснення контролю за їх наявністю та зберіганням;</w:t>
      </w:r>
    </w:p>
    <w:p w14:paraId="58AE84D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14:paraId="3A2ACC0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забезпечення виконання заходів з охорони навколишнього природного середовища та організації рятування на водах;</w:t>
      </w:r>
    </w:p>
    <w:p w14:paraId="16E1EA8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надання фінансової підтримки засобам масової інформації.</w:t>
      </w:r>
    </w:p>
    <w:p w14:paraId="73F02465"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Показниками досягнення цілей є:</w:t>
      </w:r>
    </w:p>
    <w:p w14:paraId="5EB13C96"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площа облаштованих спеціальних приміщень та захисних споруд на території громади;</w:t>
      </w:r>
    </w:p>
    <w:p w14:paraId="506E371C"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своєчасність та повнота проведення </w:t>
      </w:r>
      <w:proofErr w:type="spellStart"/>
      <w:r w:rsidRPr="00C764AC">
        <w:rPr>
          <w:rFonts w:ascii="Times New Roman" w:hAnsi="Times New Roman" w:cs="Times New Roman"/>
          <w:bCs/>
          <w:sz w:val="24"/>
          <w:szCs w:val="24"/>
          <w:lang w:val="uk-UA"/>
        </w:rPr>
        <w:t>закупівель</w:t>
      </w:r>
      <w:proofErr w:type="spellEnd"/>
      <w:r w:rsidRPr="00C764AC">
        <w:rPr>
          <w:rFonts w:ascii="Times New Roman" w:hAnsi="Times New Roman" w:cs="Times New Roman"/>
          <w:bCs/>
          <w:sz w:val="24"/>
          <w:szCs w:val="24"/>
          <w:lang w:val="uk-UA"/>
        </w:rPr>
        <w:t xml:space="preserve"> матеріального резерву;</w:t>
      </w:r>
    </w:p>
    <w:p w14:paraId="2F45073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запобігання та зменшення негативного впливу господарської діяльності на довкілля.</w:t>
      </w:r>
    </w:p>
    <w:p w14:paraId="06336F61" w14:textId="4AAC2FA3"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7E4482E6" w14:textId="77777777" w:rsidR="00C764AC"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en-US"/>
        </w:rPr>
        <w:t>VII</w:t>
      </w:r>
      <w:r w:rsidRPr="00C764AC">
        <w:rPr>
          <w:rFonts w:ascii="Times New Roman" w:hAnsi="Times New Roman" w:cs="Times New Roman"/>
          <w:b/>
          <w:sz w:val="24"/>
          <w:szCs w:val="24"/>
          <w:lang w:val="uk-UA"/>
        </w:rPr>
        <w:t>. Взаємовідносини бюджету з іншими бюджетами</w:t>
      </w:r>
    </w:p>
    <w:p w14:paraId="4EB3278E" w14:textId="77777777" w:rsidR="008077D5" w:rsidRPr="00C764AC" w:rsidRDefault="008077D5" w:rsidP="008077D5">
      <w:pPr>
        <w:spacing w:after="0" w:line="240" w:lineRule="auto"/>
        <w:ind w:firstLine="567"/>
        <w:contextualSpacing/>
        <w:rPr>
          <w:rFonts w:ascii="Times New Roman" w:hAnsi="Times New Roman" w:cs="Times New Roman"/>
          <w:bCs/>
          <w:sz w:val="24"/>
          <w:szCs w:val="24"/>
          <w:lang w:val="uk-UA"/>
        </w:rPr>
      </w:pPr>
    </w:p>
    <w:p w14:paraId="255EA745" w14:textId="2FF1B6DB"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Обсяги міжбюджетних трансфертів з інших бюджетів для бюджету Петрівської селищної територіальної громади на 2027-2029 роки (освітня субвенція та субвенцій з обласного бюджету </w:t>
      </w:r>
      <w:r w:rsidR="008077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 на здійснення переданих видатків у сфері освіти за рахунок коштів освітньої субвенції,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(додаток 10) та з бюджету селищної територіальної громади до </w:t>
      </w:r>
      <w:r w:rsidRPr="00C764AC">
        <w:rPr>
          <w:rFonts w:ascii="Times New Roman" w:hAnsi="Times New Roman" w:cs="Times New Roman"/>
          <w:bCs/>
          <w:sz w:val="24"/>
          <w:szCs w:val="24"/>
          <w:lang w:val="uk-UA"/>
        </w:rPr>
        <w:lastRenderedPageBreak/>
        <w:t>державного бюджету (реверсна дотація) передбачається на підставі Бюджетної декларації, прийнятої Верховною Радою України 17 червня 2026 року (додаток 11).</w:t>
      </w:r>
    </w:p>
    <w:p w14:paraId="3B43C354"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Міжбюджетні трансферти мають цільове спрямування і використовуються відповідно до порядків їх використання. Найбільшу питому вагу у обсязі міжбюджетних трансфертів займає освітня субвенція з державного бюджету.</w:t>
      </w:r>
    </w:p>
    <w:p w14:paraId="31A94F60"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Обсяг освітньої субвенції на 2027-2029 роки визначено розрахунково відповідно до рекомендацій Міністерства фінансів України та підлягає уточненню після офіційного розподілу субвенції з урахуванням фактичного контингенту учнів. </w:t>
      </w:r>
    </w:p>
    <w:p w14:paraId="4756D1E4" w14:textId="0994521D"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Вилучення з бюджету Петрівської селищної територіальної громади коштів у вигляді реверсної дотації заплановані Міністерством фінансів України відповідно до діючого механізму горизонтального вирівнювання податкоспроможності бюджетів місцевого самоврядування, визначеного статтею 99 Бюджетного кодексу України, на 2027 рік – 14348,2 тис.</w:t>
      </w:r>
      <w:r w:rsidR="008077D5">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2028 рік – 17170,0 тис.</w:t>
      </w:r>
      <w:r w:rsidR="008077D5">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 на 2029 рік – 19819,7 тис.</w:t>
      </w:r>
      <w:r w:rsidR="008077D5">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w:t>
      </w:r>
    </w:p>
    <w:p w14:paraId="68BF049F" w14:textId="77777777" w:rsidR="00C764AC" w:rsidRPr="00A4795D" w:rsidRDefault="00C764AC" w:rsidP="00C764AC">
      <w:pPr>
        <w:spacing w:after="0" w:line="240" w:lineRule="auto"/>
        <w:ind w:firstLine="567"/>
        <w:contextualSpacing/>
        <w:jc w:val="both"/>
        <w:rPr>
          <w:rFonts w:ascii="Times New Roman" w:hAnsi="Times New Roman" w:cs="Times New Roman"/>
          <w:bCs/>
          <w:sz w:val="20"/>
          <w:szCs w:val="20"/>
          <w:lang w:val="uk-UA"/>
        </w:rPr>
      </w:pPr>
    </w:p>
    <w:p w14:paraId="03213E14" w14:textId="77777777" w:rsidR="00C764AC" w:rsidRPr="00C764AC" w:rsidRDefault="00C764AC" w:rsidP="00C764AC">
      <w:pPr>
        <w:spacing w:after="0" w:line="240" w:lineRule="auto"/>
        <w:ind w:firstLine="567"/>
        <w:contextualSpacing/>
        <w:jc w:val="both"/>
        <w:rPr>
          <w:rFonts w:ascii="Times New Roman" w:hAnsi="Times New Roman" w:cs="Times New Roman"/>
          <w:bCs/>
          <w:i/>
          <w:sz w:val="24"/>
          <w:szCs w:val="24"/>
          <w:lang w:val="uk-UA"/>
        </w:rPr>
      </w:pPr>
      <w:r w:rsidRPr="00C764AC">
        <w:rPr>
          <w:rFonts w:ascii="Times New Roman" w:hAnsi="Times New Roman" w:cs="Times New Roman"/>
          <w:bCs/>
          <w:i/>
          <w:sz w:val="24"/>
          <w:szCs w:val="24"/>
          <w:lang w:val="uk-UA"/>
        </w:rPr>
        <w:t>Прогнозні показники міжбюджетних трансфертів по бюджету Петрівської селищної територіальної громади на 2027-2029 роки</w:t>
      </w:r>
    </w:p>
    <w:p w14:paraId="2D57317A" w14:textId="2BD704A0" w:rsid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                                                                                                                </w:t>
      </w:r>
      <w:r w:rsidR="008077D5">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(тис.</w:t>
      </w:r>
      <w:r w:rsidR="008077D5">
        <w:rPr>
          <w:rFonts w:ascii="Times New Roman" w:hAnsi="Times New Roman" w:cs="Times New Roman"/>
          <w:bCs/>
          <w:sz w:val="24"/>
          <w:szCs w:val="24"/>
          <w:lang w:val="uk-UA"/>
        </w:rPr>
        <w:t xml:space="preserve"> </w:t>
      </w:r>
      <w:r w:rsidRPr="00C764AC">
        <w:rPr>
          <w:rFonts w:ascii="Times New Roman" w:hAnsi="Times New Roman" w:cs="Times New Roman"/>
          <w:bCs/>
          <w:sz w:val="24"/>
          <w:szCs w:val="24"/>
          <w:lang w:val="uk-UA"/>
        </w:rPr>
        <w:t>грн)</w:t>
      </w:r>
    </w:p>
    <w:p w14:paraId="58095F23" w14:textId="77777777" w:rsidR="008077D5" w:rsidRPr="00C764AC" w:rsidRDefault="008077D5" w:rsidP="00C764AC">
      <w:pPr>
        <w:spacing w:after="0" w:line="240" w:lineRule="auto"/>
        <w:ind w:firstLine="567"/>
        <w:contextualSpacing/>
        <w:jc w:val="both"/>
        <w:rPr>
          <w:rFonts w:ascii="Times New Roman" w:hAnsi="Times New Roman" w:cs="Times New Roman"/>
          <w:bCs/>
          <w:sz w:val="10"/>
          <w:szCs w:val="10"/>
          <w:lang w:val="uk-UA"/>
        </w:rPr>
      </w:pPr>
    </w:p>
    <w:tbl>
      <w:tblPr>
        <w:tblW w:w="9510" w:type="dxa"/>
        <w:tblInd w:w="93" w:type="dxa"/>
        <w:tblLayout w:type="fixed"/>
        <w:tblLook w:val="04A0" w:firstRow="1" w:lastRow="0" w:firstColumn="1" w:lastColumn="0" w:noHBand="0" w:noVBand="1"/>
      </w:tblPr>
      <w:tblGrid>
        <w:gridCol w:w="5116"/>
        <w:gridCol w:w="1480"/>
        <w:gridCol w:w="1440"/>
        <w:gridCol w:w="1474"/>
      </w:tblGrid>
      <w:tr w:rsidR="00C764AC" w:rsidRPr="00C764AC" w14:paraId="39AFD93A" w14:textId="77777777" w:rsidTr="00A4795D">
        <w:trPr>
          <w:trHeight w:val="355"/>
        </w:trPr>
        <w:tc>
          <w:tcPr>
            <w:tcW w:w="5118" w:type="dxa"/>
            <w:tcBorders>
              <w:top w:val="single" w:sz="4" w:space="0" w:color="auto"/>
              <w:left w:val="single" w:sz="4" w:space="0" w:color="auto"/>
              <w:bottom w:val="single" w:sz="4" w:space="0" w:color="auto"/>
              <w:right w:val="single" w:sz="4" w:space="0" w:color="auto"/>
            </w:tcBorders>
            <w:vAlign w:val="center"/>
            <w:hideMark/>
          </w:tcPr>
          <w:p w14:paraId="0511CF3F"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rPr>
            </w:pPr>
            <w:proofErr w:type="spellStart"/>
            <w:r w:rsidRPr="00C764AC">
              <w:rPr>
                <w:rFonts w:ascii="Times New Roman" w:hAnsi="Times New Roman" w:cs="Times New Roman"/>
                <w:bCs/>
                <w:sz w:val="24"/>
                <w:szCs w:val="24"/>
              </w:rPr>
              <w:t>Прогнозні</w:t>
            </w:r>
            <w:proofErr w:type="spellEnd"/>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показники</w:t>
            </w:r>
            <w:proofErr w:type="spellEnd"/>
          </w:p>
        </w:tc>
        <w:tc>
          <w:tcPr>
            <w:tcW w:w="1480" w:type="dxa"/>
            <w:tcBorders>
              <w:top w:val="single" w:sz="4" w:space="0" w:color="auto"/>
              <w:left w:val="nil"/>
              <w:bottom w:val="single" w:sz="4" w:space="0" w:color="auto"/>
              <w:right w:val="single" w:sz="4" w:space="0" w:color="auto"/>
            </w:tcBorders>
            <w:vAlign w:val="center"/>
            <w:hideMark/>
          </w:tcPr>
          <w:p w14:paraId="174857AA" w14:textId="77777777" w:rsidR="00C764AC" w:rsidRPr="00C764AC" w:rsidRDefault="00C764AC" w:rsidP="008077D5">
            <w:pPr>
              <w:spacing w:after="0" w:line="240" w:lineRule="auto"/>
              <w:contextualSpacing/>
              <w:jc w:val="center"/>
              <w:rPr>
                <w:rFonts w:ascii="Times New Roman" w:hAnsi="Times New Roman" w:cs="Times New Roman"/>
                <w:bCs/>
                <w:sz w:val="24"/>
                <w:szCs w:val="24"/>
              </w:rPr>
            </w:pPr>
            <w:r w:rsidRPr="00C764AC">
              <w:rPr>
                <w:rFonts w:ascii="Times New Roman" w:hAnsi="Times New Roman" w:cs="Times New Roman"/>
                <w:bCs/>
                <w:sz w:val="24"/>
                <w:szCs w:val="24"/>
              </w:rPr>
              <w:t>202</w:t>
            </w:r>
            <w:r w:rsidRPr="00C764AC">
              <w:rPr>
                <w:rFonts w:ascii="Times New Roman" w:hAnsi="Times New Roman" w:cs="Times New Roman"/>
                <w:bCs/>
                <w:sz w:val="24"/>
                <w:szCs w:val="24"/>
                <w:lang w:val="uk-UA"/>
              </w:rPr>
              <w:t>7</w:t>
            </w:r>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рік</w:t>
            </w:r>
            <w:proofErr w:type="spellEnd"/>
          </w:p>
        </w:tc>
        <w:tc>
          <w:tcPr>
            <w:tcW w:w="1440" w:type="dxa"/>
            <w:tcBorders>
              <w:top w:val="single" w:sz="4" w:space="0" w:color="auto"/>
              <w:left w:val="nil"/>
              <w:bottom w:val="single" w:sz="4" w:space="0" w:color="auto"/>
              <w:right w:val="single" w:sz="4" w:space="0" w:color="auto"/>
            </w:tcBorders>
            <w:vAlign w:val="center"/>
            <w:hideMark/>
          </w:tcPr>
          <w:p w14:paraId="4D57DBF0" w14:textId="77777777" w:rsidR="00C764AC" w:rsidRPr="00C764AC" w:rsidRDefault="00C764AC" w:rsidP="008077D5">
            <w:pPr>
              <w:spacing w:after="0" w:line="240" w:lineRule="auto"/>
              <w:contextualSpacing/>
              <w:jc w:val="center"/>
              <w:rPr>
                <w:rFonts w:ascii="Times New Roman" w:hAnsi="Times New Roman" w:cs="Times New Roman"/>
                <w:bCs/>
                <w:sz w:val="24"/>
                <w:szCs w:val="24"/>
              </w:rPr>
            </w:pPr>
            <w:r w:rsidRPr="00C764AC">
              <w:rPr>
                <w:rFonts w:ascii="Times New Roman" w:hAnsi="Times New Roman" w:cs="Times New Roman"/>
                <w:bCs/>
                <w:sz w:val="24"/>
                <w:szCs w:val="24"/>
              </w:rPr>
              <w:t>202</w:t>
            </w:r>
            <w:r w:rsidRPr="00C764AC">
              <w:rPr>
                <w:rFonts w:ascii="Times New Roman" w:hAnsi="Times New Roman" w:cs="Times New Roman"/>
                <w:bCs/>
                <w:sz w:val="24"/>
                <w:szCs w:val="24"/>
                <w:lang w:val="uk-UA"/>
              </w:rPr>
              <w:t>8</w:t>
            </w:r>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рік</w:t>
            </w:r>
            <w:proofErr w:type="spellEnd"/>
          </w:p>
        </w:tc>
        <w:tc>
          <w:tcPr>
            <w:tcW w:w="1474" w:type="dxa"/>
            <w:tcBorders>
              <w:top w:val="single" w:sz="4" w:space="0" w:color="auto"/>
              <w:left w:val="nil"/>
              <w:bottom w:val="single" w:sz="4" w:space="0" w:color="auto"/>
              <w:right w:val="single" w:sz="4" w:space="0" w:color="auto"/>
            </w:tcBorders>
            <w:vAlign w:val="center"/>
            <w:hideMark/>
          </w:tcPr>
          <w:p w14:paraId="3E9D7575" w14:textId="77777777" w:rsidR="00C764AC" w:rsidRPr="00C764AC" w:rsidRDefault="00C764AC" w:rsidP="008077D5">
            <w:pPr>
              <w:spacing w:after="0" w:line="240" w:lineRule="auto"/>
              <w:contextualSpacing/>
              <w:jc w:val="center"/>
              <w:rPr>
                <w:rFonts w:ascii="Times New Roman" w:hAnsi="Times New Roman" w:cs="Times New Roman"/>
                <w:bCs/>
                <w:sz w:val="24"/>
                <w:szCs w:val="24"/>
              </w:rPr>
            </w:pPr>
            <w:r w:rsidRPr="00C764AC">
              <w:rPr>
                <w:rFonts w:ascii="Times New Roman" w:hAnsi="Times New Roman" w:cs="Times New Roman"/>
                <w:bCs/>
                <w:sz w:val="24"/>
                <w:szCs w:val="24"/>
              </w:rPr>
              <w:t>202</w:t>
            </w:r>
            <w:r w:rsidRPr="00C764AC">
              <w:rPr>
                <w:rFonts w:ascii="Times New Roman" w:hAnsi="Times New Roman" w:cs="Times New Roman"/>
                <w:bCs/>
                <w:sz w:val="24"/>
                <w:szCs w:val="24"/>
                <w:lang w:val="uk-UA"/>
              </w:rPr>
              <w:t>9</w:t>
            </w:r>
            <w:r w:rsidRPr="00C764AC">
              <w:rPr>
                <w:rFonts w:ascii="Times New Roman" w:hAnsi="Times New Roman" w:cs="Times New Roman"/>
                <w:bCs/>
                <w:sz w:val="24"/>
                <w:szCs w:val="24"/>
              </w:rPr>
              <w:t xml:space="preserve"> </w:t>
            </w:r>
            <w:proofErr w:type="spellStart"/>
            <w:r w:rsidRPr="00C764AC">
              <w:rPr>
                <w:rFonts w:ascii="Times New Roman" w:hAnsi="Times New Roman" w:cs="Times New Roman"/>
                <w:bCs/>
                <w:sz w:val="24"/>
                <w:szCs w:val="24"/>
              </w:rPr>
              <w:t>рік</w:t>
            </w:r>
            <w:proofErr w:type="spellEnd"/>
          </w:p>
        </w:tc>
      </w:tr>
      <w:tr w:rsidR="00C764AC" w:rsidRPr="00C764AC" w14:paraId="2B4C2DBB" w14:textId="77777777" w:rsidTr="00A4795D">
        <w:trPr>
          <w:trHeight w:val="276"/>
        </w:trPr>
        <w:tc>
          <w:tcPr>
            <w:tcW w:w="9512" w:type="dxa"/>
            <w:gridSpan w:val="4"/>
            <w:tcBorders>
              <w:top w:val="single" w:sz="4" w:space="0" w:color="auto"/>
              <w:left w:val="single" w:sz="4" w:space="0" w:color="auto"/>
              <w:bottom w:val="single" w:sz="4" w:space="0" w:color="auto"/>
              <w:right w:val="single" w:sz="4" w:space="0" w:color="000000"/>
            </w:tcBorders>
            <w:vAlign w:val="center"/>
            <w:hideMark/>
          </w:tcPr>
          <w:p w14:paraId="2A2D6A1A" w14:textId="77777777" w:rsidR="00C764AC" w:rsidRPr="00C764AC" w:rsidRDefault="00C764AC" w:rsidP="008077D5">
            <w:pPr>
              <w:spacing w:after="0" w:line="240" w:lineRule="auto"/>
              <w:ind w:firstLine="567"/>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Міжбюджетні трансферти, які надходять з державного бюджету</w:t>
            </w:r>
          </w:p>
        </w:tc>
      </w:tr>
      <w:tr w:rsidR="00C764AC" w:rsidRPr="00C764AC" w14:paraId="0B41CB02" w14:textId="77777777" w:rsidTr="00C764AC">
        <w:trPr>
          <w:trHeight w:val="309"/>
        </w:trPr>
        <w:tc>
          <w:tcPr>
            <w:tcW w:w="5118" w:type="dxa"/>
            <w:tcBorders>
              <w:top w:val="nil"/>
              <w:left w:val="single" w:sz="4" w:space="0" w:color="auto"/>
              <w:bottom w:val="single" w:sz="4" w:space="0" w:color="auto"/>
              <w:right w:val="single" w:sz="4" w:space="0" w:color="auto"/>
            </w:tcBorders>
            <w:noWrap/>
            <w:vAlign w:val="bottom"/>
            <w:hideMark/>
          </w:tcPr>
          <w:p w14:paraId="248320F3"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Освітня субвенція</w:t>
            </w:r>
          </w:p>
        </w:tc>
        <w:tc>
          <w:tcPr>
            <w:tcW w:w="1480" w:type="dxa"/>
            <w:tcBorders>
              <w:top w:val="nil"/>
              <w:left w:val="nil"/>
              <w:bottom w:val="single" w:sz="4" w:space="0" w:color="auto"/>
              <w:right w:val="single" w:sz="4" w:space="0" w:color="auto"/>
            </w:tcBorders>
            <w:noWrap/>
            <w:vAlign w:val="bottom"/>
            <w:hideMark/>
          </w:tcPr>
          <w:p w14:paraId="5593BEBA"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89615,1</w:t>
            </w:r>
          </w:p>
        </w:tc>
        <w:tc>
          <w:tcPr>
            <w:tcW w:w="1440" w:type="dxa"/>
            <w:tcBorders>
              <w:top w:val="nil"/>
              <w:left w:val="nil"/>
              <w:bottom w:val="single" w:sz="4" w:space="0" w:color="auto"/>
              <w:right w:val="single" w:sz="4" w:space="0" w:color="auto"/>
            </w:tcBorders>
            <w:noWrap/>
            <w:vAlign w:val="bottom"/>
            <w:hideMark/>
          </w:tcPr>
          <w:p w14:paraId="2008C51B"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95798,5</w:t>
            </w:r>
          </w:p>
        </w:tc>
        <w:tc>
          <w:tcPr>
            <w:tcW w:w="1474" w:type="dxa"/>
            <w:tcBorders>
              <w:top w:val="nil"/>
              <w:left w:val="nil"/>
              <w:bottom w:val="single" w:sz="4" w:space="0" w:color="auto"/>
              <w:right w:val="single" w:sz="4" w:space="0" w:color="auto"/>
            </w:tcBorders>
            <w:noWrap/>
            <w:vAlign w:val="bottom"/>
            <w:hideMark/>
          </w:tcPr>
          <w:p w14:paraId="0B7E66FE"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100684,2</w:t>
            </w:r>
          </w:p>
        </w:tc>
      </w:tr>
      <w:tr w:rsidR="00C764AC" w:rsidRPr="00C764AC" w14:paraId="3DDBC277" w14:textId="77777777" w:rsidTr="00A4795D">
        <w:trPr>
          <w:trHeight w:val="242"/>
        </w:trPr>
        <w:tc>
          <w:tcPr>
            <w:tcW w:w="9512" w:type="dxa"/>
            <w:gridSpan w:val="4"/>
            <w:tcBorders>
              <w:top w:val="single" w:sz="4" w:space="0" w:color="auto"/>
              <w:left w:val="single" w:sz="4" w:space="0" w:color="auto"/>
              <w:bottom w:val="single" w:sz="4" w:space="0" w:color="auto"/>
              <w:right w:val="single" w:sz="4" w:space="0" w:color="auto"/>
            </w:tcBorders>
            <w:noWrap/>
            <w:vAlign w:val="center"/>
            <w:hideMark/>
          </w:tcPr>
          <w:p w14:paraId="7615D00F" w14:textId="77777777" w:rsidR="00C764AC" w:rsidRPr="00C764AC" w:rsidRDefault="00C764AC" w:rsidP="008077D5">
            <w:pPr>
              <w:spacing w:after="0" w:line="240" w:lineRule="auto"/>
              <w:ind w:firstLine="567"/>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Міжбюджетні трансферти, які надходять з обласного бюджету</w:t>
            </w:r>
          </w:p>
        </w:tc>
      </w:tr>
      <w:tr w:rsidR="00C764AC" w:rsidRPr="00C764AC" w14:paraId="592EAE72" w14:textId="77777777" w:rsidTr="00C764AC">
        <w:trPr>
          <w:trHeight w:val="274"/>
        </w:trPr>
        <w:tc>
          <w:tcPr>
            <w:tcW w:w="5118" w:type="dxa"/>
            <w:tcBorders>
              <w:top w:val="nil"/>
              <w:left w:val="single" w:sz="4" w:space="0" w:color="auto"/>
              <w:bottom w:val="single" w:sz="4" w:space="0" w:color="auto"/>
              <w:right w:val="single" w:sz="4" w:space="0" w:color="auto"/>
            </w:tcBorders>
            <w:noWrap/>
            <w:vAlign w:val="bottom"/>
            <w:hideMark/>
          </w:tcPr>
          <w:p w14:paraId="32C0222D"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здійснення переданих видатків у сфері освіти за рахунок коштів освітньої субвенції</w:t>
            </w:r>
          </w:p>
        </w:tc>
        <w:tc>
          <w:tcPr>
            <w:tcW w:w="1480" w:type="dxa"/>
            <w:tcBorders>
              <w:top w:val="nil"/>
              <w:left w:val="nil"/>
              <w:bottom w:val="single" w:sz="4" w:space="0" w:color="auto"/>
              <w:right w:val="single" w:sz="4" w:space="0" w:color="auto"/>
            </w:tcBorders>
            <w:noWrap/>
            <w:vAlign w:val="bottom"/>
            <w:hideMark/>
          </w:tcPr>
          <w:p w14:paraId="0FEBF51D"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1596,1</w:t>
            </w:r>
          </w:p>
        </w:tc>
        <w:tc>
          <w:tcPr>
            <w:tcW w:w="1440" w:type="dxa"/>
            <w:tcBorders>
              <w:top w:val="nil"/>
              <w:left w:val="nil"/>
              <w:bottom w:val="single" w:sz="4" w:space="0" w:color="auto"/>
              <w:right w:val="single" w:sz="4" w:space="0" w:color="auto"/>
            </w:tcBorders>
            <w:noWrap/>
            <w:vAlign w:val="bottom"/>
            <w:hideMark/>
          </w:tcPr>
          <w:p w14:paraId="6A270810"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1735,0</w:t>
            </w:r>
          </w:p>
        </w:tc>
        <w:tc>
          <w:tcPr>
            <w:tcW w:w="1474" w:type="dxa"/>
            <w:tcBorders>
              <w:top w:val="nil"/>
              <w:left w:val="nil"/>
              <w:bottom w:val="single" w:sz="4" w:space="0" w:color="auto"/>
              <w:right w:val="single" w:sz="4" w:space="0" w:color="auto"/>
            </w:tcBorders>
            <w:noWrap/>
            <w:vAlign w:val="bottom"/>
            <w:hideMark/>
          </w:tcPr>
          <w:p w14:paraId="766D464B"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1858,2</w:t>
            </w:r>
          </w:p>
        </w:tc>
      </w:tr>
      <w:tr w:rsidR="00C764AC" w:rsidRPr="00C764AC" w14:paraId="21CB41E1" w14:textId="77777777" w:rsidTr="00C764AC">
        <w:trPr>
          <w:trHeight w:val="525"/>
        </w:trPr>
        <w:tc>
          <w:tcPr>
            <w:tcW w:w="5118" w:type="dxa"/>
            <w:tcBorders>
              <w:top w:val="nil"/>
              <w:left w:val="single" w:sz="4" w:space="0" w:color="auto"/>
              <w:bottom w:val="single" w:sz="4" w:space="0" w:color="auto"/>
              <w:right w:val="single" w:sz="4" w:space="0" w:color="auto"/>
            </w:tcBorders>
            <w:noWrap/>
            <w:vAlign w:val="bottom"/>
            <w:hideMark/>
          </w:tcPr>
          <w:p w14:paraId="6EE72759"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noWrap/>
            <w:vAlign w:val="bottom"/>
            <w:hideMark/>
          </w:tcPr>
          <w:p w14:paraId="34DD7CAA"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400,3</w:t>
            </w:r>
          </w:p>
        </w:tc>
        <w:tc>
          <w:tcPr>
            <w:tcW w:w="1440" w:type="dxa"/>
            <w:tcBorders>
              <w:top w:val="nil"/>
              <w:left w:val="nil"/>
              <w:bottom w:val="single" w:sz="4" w:space="0" w:color="auto"/>
              <w:right w:val="single" w:sz="4" w:space="0" w:color="auto"/>
            </w:tcBorders>
            <w:noWrap/>
            <w:vAlign w:val="bottom"/>
            <w:hideMark/>
          </w:tcPr>
          <w:p w14:paraId="30045F00"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427,9</w:t>
            </w:r>
          </w:p>
        </w:tc>
        <w:tc>
          <w:tcPr>
            <w:tcW w:w="1474" w:type="dxa"/>
            <w:tcBorders>
              <w:top w:val="nil"/>
              <w:left w:val="nil"/>
              <w:bottom w:val="single" w:sz="4" w:space="0" w:color="auto"/>
              <w:right w:val="single" w:sz="4" w:space="0" w:color="auto"/>
            </w:tcBorders>
            <w:noWrap/>
            <w:vAlign w:val="bottom"/>
            <w:hideMark/>
          </w:tcPr>
          <w:p w14:paraId="32BD434A"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449,7</w:t>
            </w:r>
          </w:p>
        </w:tc>
      </w:tr>
      <w:tr w:rsidR="00C764AC" w:rsidRPr="00C764AC" w14:paraId="78F62EA7" w14:textId="77777777" w:rsidTr="00C764AC">
        <w:trPr>
          <w:trHeight w:val="517"/>
        </w:trPr>
        <w:tc>
          <w:tcPr>
            <w:tcW w:w="9512" w:type="dxa"/>
            <w:gridSpan w:val="4"/>
            <w:tcBorders>
              <w:top w:val="single" w:sz="4" w:space="0" w:color="auto"/>
              <w:left w:val="single" w:sz="4" w:space="0" w:color="auto"/>
              <w:bottom w:val="single" w:sz="4" w:space="0" w:color="auto"/>
              <w:right w:val="single" w:sz="4" w:space="0" w:color="000000"/>
            </w:tcBorders>
            <w:vAlign w:val="center"/>
            <w:hideMark/>
          </w:tcPr>
          <w:p w14:paraId="0C0A0FB3" w14:textId="77777777" w:rsidR="008077D5" w:rsidRDefault="00C764AC" w:rsidP="008077D5">
            <w:pPr>
              <w:spacing w:after="0" w:line="240" w:lineRule="auto"/>
              <w:ind w:firstLine="567"/>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 xml:space="preserve">Міжбюджетні трансферти з бюджету селищної територіальної громади </w:t>
            </w:r>
          </w:p>
          <w:p w14:paraId="0DAB1FF8" w14:textId="09408A66" w:rsidR="00C764AC" w:rsidRPr="00C764AC" w:rsidRDefault="00C764AC" w:rsidP="008077D5">
            <w:pPr>
              <w:spacing w:after="0" w:line="240" w:lineRule="auto"/>
              <w:ind w:firstLine="567"/>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до державного бюджету</w:t>
            </w:r>
          </w:p>
        </w:tc>
      </w:tr>
      <w:tr w:rsidR="00C764AC" w:rsidRPr="00C764AC" w14:paraId="001116FD" w14:textId="77777777" w:rsidTr="00C764AC">
        <w:trPr>
          <w:trHeight w:val="341"/>
        </w:trPr>
        <w:tc>
          <w:tcPr>
            <w:tcW w:w="5118" w:type="dxa"/>
            <w:tcBorders>
              <w:top w:val="nil"/>
              <w:left w:val="single" w:sz="4" w:space="0" w:color="auto"/>
              <w:bottom w:val="single" w:sz="4" w:space="0" w:color="auto"/>
              <w:right w:val="single" w:sz="4" w:space="0" w:color="auto"/>
            </w:tcBorders>
            <w:noWrap/>
            <w:vAlign w:val="bottom"/>
            <w:hideMark/>
          </w:tcPr>
          <w:p w14:paraId="1768BA67"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Реверсна дотація</w:t>
            </w:r>
          </w:p>
        </w:tc>
        <w:tc>
          <w:tcPr>
            <w:tcW w:w="1480" w:type="dxa"/>
            <w:tcBorders>
              <w:top w:val="nil"/>
              <w:left w:val="nil"/>
              <w:bottom w:val="single" w:sz="4" w:space="0" w:color="auto"/>
              <w:right w:val="single" w:sz="4" w:space="0" w:color="auto"/>
            </w:tcBorders>
            <w:noWrap/>
            <w:vAlign w:val="bottom"/>
            <w:hideMark/>
          </w:tcPr>
          <w:p w14:paraId="27C3AD1A"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14348,2</w:t>
            </w:r>
          </w:p>
        </w:tc>
        <w:tc>
          <w:tcPr>
            <w:tcW w:w="1440" w:type="dxa"/>
            <w:tcBorders>
              <w:top w:val="nil"/>
              <w:left w:val="nil"/>
              <w:bottom w:val="single" w:sz="4" w:space="0" w:color="auto"/>
              <w:right w:val="single" w:sz="4" w:space="0" w:color="auto"/>
            </w:tcBorders>
            <w:noWrap/>
            <w:vAlign w:val="bottom"/>
            <w:hideMark/>
          </w:tcPr>
          <w:p w14:paraId="18D49451"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17170,0</w:t>
            </w:r>
          </w:p>
        </w:tc>
        <w:tc>
          <w:tcPr>
            <w:tcW w:w="1474" w:type="dxa"/>
            <w:tcBorders>
              <w:top w:val="nil"/>
              <w:left w:val="nil"/>
              <w:bottom w:val="single" w:sz="4" w:space="0" w:color="auto"/>
              <w:right w:val="single" w:sz="4" w:space="0" w:color="auto"/>
            </w:tcBorders>
            <w:noWrap/>
            <w:vAlign w:val="bottom"/>
            <w:hideMark/>
          </w:tcPr>
          <w:p w14:paraId="2E4AA10C" w14:textId="77777777" w:rsidR="00C764AC" w:rsidRPr="00C764AC" w:rsidRDefault="00C764AC" w:rsidP="008077D5">
            <w:pPr>
              <w:spacing w:after="0" w:line="240" w:lineRule="auto"/>
              <w:contextualSpacing/>
              <w:jc w:val="center"/>
              <w:rPr>
                <w:rFonts w:ascii="Times New Roman" w:hAnsi="Times New Roman" w:cs="Times New Roman"/>
                <w:bCs/>
                <w:sz w:val="24"/>
                <w:szCs w:val="24"/>
                <w:lang w:val="uk-UA"/>
              </w:rPr>
            </w:pPr>
            <w:r w:rsidRPr="00C764AC">
              <w:rPr>
                <w:rFonts w:ascii="Times New Roman" w:hAnsi="Times New Roman" w:cs="Times New Roman"/>
                <w:bCs/>
                <w:sz w:val="24"/>
                <w:szCs w:val="24"/>
                <w:lang w:val="uk-UA"/>
              </w:rPr>
              <w:t>19819,7</w:t>
            </w:r>
          </w:p>
        </w:tc>
      </w:tr>
    </w:tbl>
    <w:p w14:paraId="2AABA248" w14:textId="77777777"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p>
    <w:p w14:paraId="157D6ABE" w14:textId="77777777" w:rsidR="00C764AC" w:rsidRDefault="00C764AC" w:rsidP="008077D5">
      <w:pPr>
        <w:spacing w:after="0" w:line="240" w:lineRule="auto"/>
        <w:ind w:firstLine="567"/>
        <w:contextualSpacing/>
        <w:jc w:val="center"/>
        <w:rPr>
          <w:rFonts w:ascii="Times New Roman" w:hAnsi="Times New Roman" w:cs="Times New Roman"/>
          <w:b/>
          <w:sz w:val="24"/>
          <w:szCs w:val="24"/>
          <w:lang w:val="uk-UA"/>
        </w:rPr>
      </w:pPr>
      <w:r w:rsidRPr="00C764AC">
        <w:rPr>
          <w:rFonts w:ascii="Times New Roman" w:hAnsi="Times New Roman" w:cs="Times New Roman"/>
          <w:b/>
          <w:sz w:val="24"/>
          <w:szCs w:val="24"/>
          <w:lang w:val="en-US"/>
        </w:rPr>
        <w:t>VII</w:t>
      </w:r>
      <w:r w:rsidRPr="00C764AC">
        <w:rPr>
          <w:rFonts w:ascii="Times New Roman" w:hAnsi="Times New Roman" w:cs="Times New Roman"/>
          <w:b/>
          <w:sz w:val="24"/>
          <w:szCs w:val="24"/>
          <w:lang w:val="uk-UA"/>
        </w:rPr>
        <w:t>І. Інші положення та показники прогнозу бюджету</w:t>
      </w:r>
    </w:p>
    <w:p w14:paraId="6753074D" w14:textId="77777777" w:rsidR="008077D5" w:rsidRPr="00C764AC" w:rsidRDefault="008077D5" w:rsidP="008077D5">
      <w:pPr>
        <w:spacing w:after="0" w:line="240" w:lineRule="auto"/>
        <w:ind w:firstLine="567"/>
        <w:contextualSpacing/>
        <w:jc w:val="center"/>
        <w:rPr>
          <w:rFonts w:ascii="Times New Roman" w:hAnsi="Times New Roman" w:cs="Times New Roman"/>
          <w:bCs/>
          <w:sz w:val="24"/>
          <w:szCs w:val="24"/>
          <w:lang w:val="uk-UA"/>
        </w:rPr>
      </w:pPr>
    </w:p>
    <w:p w14:paraId="0774C030" w14:textId="3B7C408A" w:rsidR="00C764AC" w:rsidRPr="00C764AC" w:rsidRDefault="00C764AC" w:rsidP="00C764AC">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При складанні прогнозу бюджету Петрівської селищної територіальної громади на 2027</w:t>
      </w:r>
      <w:r w:rsidR="008077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 xml:space="preserve">2029 роки відсутня інформація для заповнення додатків відповідно до типової форми, а саме: додатка 4 «Показники місцевого боргу», додатка 5 «Показники надання місцевих гарантій, обсягу гарантійних зобов’язань та гарантованого селищною територіальною громадою боргу» та додатка 8 «Граничні показники кредитування бюджету за Типовою програмною класифікацією видатків та кредитування місцевого бюджету». </w:t>
      </w:r>
    </w:p>
    <w:p w14:paraId="340DDB1F" w14:textId="1A757ED5" w:rsidR="00DF5F2B" w:rsidRDefault="00C764AC" w:rsidP="00A4795D">
      <w:pPr>
        <w:spacing w:after="0" w:line="240" w:lineRule="auto"/>
        <w:ind w:firstLine="567"/>
        <w:contextualSpacing/>
        <w:jc w:val="both"/>
        <w:rPr>
          <w:rFonts w:ascii="Times New Roman" w:hAnsi="Times New Roman" w:cs="Times New Roman"/>
          <w:bCs/>
          <w:sz w:val="24"/>
          <w:szCs w:val="24"/>
          <w:lang w:val="uk-UA"/>
        </w:rPr>
      </w:pPr>
      <w:r w:rsidRPr="00C764AC">
        <w:rPr>
          <w:rFonts w:ascii="Times New Roman" w:hAnsi="Times New Roman" w:cs="Times New Roman"/>
          <w:bCs/>
          <w:sz w:val="24"/>
          <w:szCs w:val="24"/>
          <w:lang w:val="uk-UA"/>
        </w:rPr>
        <w:t>Прогнозні показники на 2027</w:t>
      </w:r>
      <w:r w:rsidR="008077D5">
        <w:rPr>
          <w:rFonts w:ascii="Times New Roman" w:hAnsi="Times New Roman" w:cs="Times New Roman"/>
          <w:bCs/>
          <w:sz w:val="24"/>
          <w:szCs w:val="24"/>
          <w:lang w:val="uk-UA"/>
        </w:rPr>
        <w:t>-</w:t>
      </w:r>
      <w:r w:rsidRPr="00C764AC">
        <w:rPr>
          <w:rFonts w:ascii="Times New Roman" w:hAnsi="Times New Roman" w:cs="Times New Roman"/>
          <w:bCs/>
          <w:sz w:val="24"/>
          <w:szCs w:val="24"/>
          <w:lang w:val="uk-UA"/>
        </w:rPr>
        <w:t>2029 р</w:t>
      </w:r>
      <w:r w:rsidR="008077D5">
        <w:rPr>
          <w:rFonts w:ascii="Times New Roman" w:hAnsi="Times New Roman" w:cs="Times New Roman"/>
          <w:bCs/>
          <w:sz w:val="24"/>
          <w:szCs w:val="24"/>
          <w:lang w:val="uk-UA"/>
        </w:rPr>
        <w:t xml:space="preserve">оки </w:t>
      </w:r>
      <w:r w:rsidRPr="00C764AC">
        <w:rPr>
          <w:rFonts w:ascii="Times New Roman" w:hAnsi="Times New Roman" w:cs="Times New Roman"/>
          <w:bCs/>
          <w:sz w:val="24"/>
          <w:szCs w:val="24"/>
          <w:lang w:val="uk-UA"/>
        </w:rPr>
        <w:t xml:space="preserve">та показники в частині фінансування публічних інвестиційних </w:t>
      </w:r>
      <w:proofErr w:type="spellStart"/>
      <w:r w:rsidRPr="00C764AC">
        <w:rPr>
          <w:rFonts w:ascii="Times New Roman" w:hAnsi="Times New Roman" w:cs="Times New Roman"/>
          <w:bCs/>
          <w:sz w:val="24"/>
          <w:szCs w:val="24"/>
          <w:lang w:val="uk-UA"/>
        </w:rPr>
        <w:t>проєктів</w:t>
      </w:r>
      <w:proofErr w:type="spellEnd"/>
      <w:r w:rsidRPr="00C764AC">
        <w:rPr>
          <w:rFonts w:ascii="Times New Roman" w:hAnsi="Times New Roman" w:cs="Times New Roman"/>
          <w:bCs/>
          <w:sz w:val="24"/>
          <w:szCs w:val="24"/>
          <w:lang w:val="uk-UA"/>
        </w:rPr>
        <w:t xml:space="preserve"> в ході реалізації бюджетної політики на місцевому рівні можуть бути уточнені залежно від змін у бюджетному законодавстві, зміни показників міжбюджетних трансфертів та за умов здійснення місцевих запозичень на забезпечення фінансовим ресурсом стратегічно важливих інвестиційних </w:t>
      </w:r>
      <w:proofErr w:type="spellStart"/>
      <w:r w:rsidRPr="00C764AC">
        <w:rPr>
          <w:rFonts w:ascii="Times New Roman" w:hAnsi="Times New Roman" w:cs="Times New Roman"/>
          <w:bCs/>
          <w:sz w:val="24"/>
          <w:szCs w:val="24"/>
          <w:lang w:val="uk-UA"/>
        </w:rPr>
        <w:t>проєктів</w:t>
      </w:r>
      <w:proofErr w:type="spellEnd"/>
      <w:r w:rsidRPr="00C764AC">
        <w:rPr>
          <w:rFonts w:ascii="Times New Roman" w:hAnsi="Times New Roman" w:cs="Times New Roman"/>
          <w:bCs/>
          <w:sz w:val="24"/>
          <w:szCs w:val="24"/>
          <w:lang w:val="uk-UA"/>
        </w:rPr>
        <w:t xml:space="preserve"> громади.</w:t>
      </w:r>
    </w:p>
    <w:p w14:paraId="23EB6B64" w14:textId="77777777" w:rsidR="00A4795D" w:rsidRDefault="00A4795D" w:rsidP="00A4795D">
      <w:pPr>
        <w:spacing w:after="0" w:line="240" w:lineRule="auto"/>
        <w:ind w:firstLine="567"/>
        <w:contextualSpacing/>
        <w:jc w:val="both"/>
        <w:rPr>
          <w:rFonts w:ascii="Times New Roman" w:hAnsi="Times New Roman" w:cs="Times New Roman"/>
          <w:bCs/>
          <w:sz w:val="24"/>
          <w:szCs w:val="24"/>
          <w:lang w:val="uk-UA"/>
        </w:rPr>
      </w:pPr>
    </w:p>
    <w:p w14:paraId="118A6BA2" w14:textId="77777777" w:rsidR="00A4795D" w:rsidRDefault="00A4795D" w:rsidP="00A4795D">
      <w:pPr>
        <w:spacing w:after="0" w:line="240" w:lineRule="auto"/>
        <w:ind w:firstLine="567"/>
        <w:contextualSpacing/>
        <w:jc w:val="both"/>
        <w:rPr>
          <w:rFonts w:ascii="Times New Roman" w:hAnsi="Times New Roman" w:cs="Times New Roman"/>
          <w:bCs/>
          <w:sz w:val="24"/>
          <w:szCs w:val="24"/>
          <w:lang w:val="uk-UA"/>
        </w:rPr>
      </w:pPr>
    </w:p>
    <w:p w14:paraId="4014DFE7" w14:textId="77777777" w:rsidR="00A4795D" w:rsidRPr="008077D5" w:rsidRDefault="00A4795D" w:rsidP="00A4795D">
      <w:pPr>
        <w:spacing w:after="0" w:line="240" w:lineRule="auto"/>
        <w:ind w:firstLine="567"/>
        <w:contextualSpacing/>
        <w:jc w:val="both"/>
        <w:rPr>
          <w:rFonts w:ascii="Times New Roman" w:hAnsi="Times New Roman" w:cs="Times New Roman"/>
          <w:bCs/>
          <w:sz w:val="24"/>
          <w:szCs w:val="24"/>
          <w:lang w:val="uk-UA"/>
        </w:rPr>
      </w:pPr>
    </w:p>
    <w:p w14:paraId="59D438A9" w14:textId="77777777" w:rsidR="00744104" w:rsidRPr="008077D5" w:rsidRDefault="00314556" w:rsidP="00314556">
      <w:pPr>
        <w:spacing w:line="240" w:lineRule="auto"/>
        <w:contextualSpacing/>
        <w:rPr>
          <w:rFonts w:ascii="Times New Roman" w:hAnsi="Times New Roman" w:cs="Times New Roman"/>
          <w:b/>
          <w:sz w:val="24"/>
          <w:szCs w:val="24"/>
          <w:lang w:val="uk-UA"/>
        </w:rPr>
      </w:pPr>
      <w:r w:rsidRPr="008077D5">
        <w:rPr>
          <w:rFonts w:ascii="Times New Roman" w:hAnsi="Times New Roman" w:cs="Times New Roman"/>
          <w:b/>
          <w:sz w:val="24"/>
          <w:szCs w:val="24"/>
          <w:lang w:val="uk-UA"/>
        </w:rPr>
        <w:t>Начальник фінансового управління</w:t>
      </w:r>
    </w:p>
    <w:p w14:paraId="3D8E9831" w14:textId="54203230" w:rsidR="00314556" w:rsidRPr="008077D5" w:rsidRDefault="00314556" w:rsidP="00314556">
      <w:pPr>
        <w:spacing w:line="240" w:lineRule="auto"/>
        <w:contextualSpacing/>
        <w:rPr>
          <w:rFonts w:ascii="Times New Roman" w:hAnsi="Times New Roman" w:cs="Times New Roman"/>
          <w:b/>
          <w:sz w:val="24"/>
          <w:szCs w:val="24"/>
          <w:lang w:val="uk-UA"/>
        </w:rPr>
      </w:pPr>
      <w:r w:rsidRPr="008077D5">
        <w:rPr>
          <w:rFonts w:ascii="Times New Roman" w:hAnsi="Times New Roman" w:cs="Times New Roman"/>
          <w:b/>
          <w:sz w:val="24"/>
          <w:szCs w:val="24"/>
          <w:lang w:val="uk-UA"/>
        </w:rPr>
        <w:t>Петрівської селищної ради</w:t>
      </w:r>
      <w:r w:rsidR="00F064B2" w:rsidRPr="008077D5">
        <w:rPr>
          <w:rFonts w:ascii="Times New Roman" w:hAnsi="Times New Roman" w:cs="Times New Roman"/>
          <w:b/>
          <w:sz w:val="24"/>
          <w:szCs w:val="24"/>
          <w:lang w:val="uk-UA"/>
        </w:rPr>
        <w:tab/>
      </w:r>
      <w:r w:rsidR="00F064B2" w:rsidRPr="008077D5">
        <w:rPr>
          <w:rFonts w:ascii="Times New Roman" w:hAnsi="Times New Roman" w:cs="Times New Roman"/>
          <w:b/>
          <w:sz w:val="24"/>
          <w:szCs w:val="24"/>
          <w:lang w:val="uk-UA"/>
        </w:rPr>
        <w:tab/>
      </w:r>
      <w:r w:rsidR="00F064B2" w:rsidRPr="008077D5">
        <w:rPr>
          <w:rFonts w:ascii="Times New Roman" w:hAnsi="Times New Roman" w:cs="Times New Roman"/>
          <w:b/>
          <w:sz w:val="24"/>
          <w:szCs w:val="24"/>
          <w:lang w:val="uk-UA"/>
        </w:rPr>
        <w:tab/>
      </w:r>
      <w:r w:rsidR="00F064B2" w:rsidRPr="008077D5">
        <w:rPr>
          <w:rFonts w:ascii="Times New Roman" w:hAnsi="Times New Roman" w:cs="Times New Roman"/>
          <w:b/>
          <w:sz w:val="24"/>
          <w:szCs w:val="24"/>
          <w:lang w:val="uk-UA"/>
        </w:rPr>
        <w:tab/>
      </w:r>
      <w:r w:rsidR="00F064B2" w:rsidRPr="008077D5">
        <w:rPr>
          <w:rFonts w:ascii="Times New Roman" w:hAnsi="Times New Roman" w:cs="Times New Roman"/>
          <w:b/>
          <w:sz w:val="24"/>
          <w:szCs w:val="24"/>
          <w:lang w:val="uk-UA"/>
        </w:rPr>
        <w:tab/>
      </w:r>
      <w:r w:rsidR="00F064B2" w:rsidRPr="008077D5">
        <w:rPr>
          <w:rFonts w:ascii="Times New Roman" w:hAnsi="Times New Roman" w:cs="Times New Roman"/>
          <w:b/>
          <w:sz w:val="24"/>
          <w:szCs w:val="24"/>
          <w:lang w:val="uk-UA"/>
        </w:rPr>
        <w:tab/>
      </w:r>
      <w:r w:rsidR="00422535" w:rsidRPr="008077D5">
        <w:rPr>
          <w:rFonts w:ascii="Times New Roman" w:hAnsi="Times New Roman" w:cs="Times New Roman"/>
          <w:b/>
          <w:sz w:val="24"/>
          <w:szCs w:val="24"/>
          <w:lang w:val="uk-UA"/>
        </w:rPr>
        <w:t>Сергій ЧИРВА</w:t>
      </w:r>
    </w:p>
    <w:sectPr w:rsidR="00314556" w:rsidRPr="008077D5" w:rsidSect="00F378D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B1198" w14:textId="77777777" w:rsidR="001B2D20" w:rsidRDefault="001B2D20" w:rsidP="00D271E1">
      <w:pPr>
        <w:spacing w:after="0" w:line="240" w:lineRule="auto"/>
      </w:pPr>
      <w:r>
        <w:separator/>
      </w:r>
    </w:p>
  </w:endnote>
  <w:endnote w:type="continuationSeparator" w:id="0">
    <w:p w14:paraId="1A634563" w14:textId="77777777" w:rsidR="001B2D20" w:rsidRDefault="001B2D20" w:rsidP="00D2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BF18F" w14:textId="77777777" w:rsidR="001B2D20" w:rsidRDefault="001B2D20" w:rsidP="00D271E1">
      <w:pPr>
        <w:spacing w:after="0" w:line="240" w:lineRule="auto"/>
      </w:pPr>
      <w:r>
        <w:separator/>
      </w:r>
    </w:p>
  </w:footnote>
  <w:footnote w:type="continuationSeparator" w:id="0">
    <w:p w14:paraId="34F5B37B" w14:textId="77777777" w:rsidR="001B2D20" w:rsidRDefault="001B2D20" w:rsidP="00D27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777366"/>
      <w:docPartObj>
        <w:docPartGallery w:val="Page Numbers (Top of Page)"/>
        <w:docPartUnique/>
      </w:docPartObj>
    </w:sdtPr>
    <w:sdtContent>
      <w:p w14:paraId="69C6E8FF" w14:textId="141B3B98" w:rsidR="00F378D6" w:rsidRDefault="00F378D6">
        <w:pPr>
          <w:pStyle w:val="a3"/>
          <w:jc w:val="center"/>
        </w:pPr>
        <w:r>
          <w:fldChar w:fldCharType="begin"/>
        </w:r>
        <w:r>
          <w:instrText>PAGE   \* MERGEFORMAT</w:instrText>
        </w:r>
        <w:r>
          <w:fldChar w:fldCharType="separate"/>
        </w:r>
        <w:r>
          <w:rPr>
            <w:lang w:val="uk-UA"/>
          </w:rPr>
          <w:t>2</w:t>
        </w:r>
        <w:r>
          <w:fldChar w:fldCharType="end"/>
        </w:r>
      </w:p>
    </w:sdtContent>
  </w:sdt>
  <w:p w14:paraId="3DBE2E82" w14:textId="77777777" w:rsidR="00F378D6" w:rsidRDefault="00F378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A3EFC"/>
    <w:multiLevelType w:val="hybridMultilevel"/>
    <w:tmpl w:val="E5441B10"/>
    <w:lvl w:ilvl="0" w:tplc="FEAE217C">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155"/>
        </w:tabs>
        <w:ind w:left="1155" w:hanging="360"/>
      </w:pPr>
      <w:rPr>
        <w:rFonts w:ascii="Courier New" w:hAnsi="Courier New" w:cs="Courier New" w:hint="default"/>
      </w:rPr>
    </w:lvl>
    <w:lvl w:ilvl="2" w:tplc="04190005">
      <w:start w:val="1"/>
      <w:numFmt w:val="bullet"/>
      <w:lvlText w:val=""/>
      <w:lvlJc w:val="left"/>
      <w:pPr>
        <w:tabs>
          <w:tab w:val="num" w:pos="1875"/>
        </w:tabs>
        <w:ind w:left="1875" w:hanging="360"/>
      </w:pPr>
      <w:rPr>
        <w:rFonts w:ascii="Wingdings" w:hAnsi="Wingdings" w:hint="default"/>
      </w:rPr>
    </w:lvl>
    <w:lvl w:ilvl="3" w:tplc="04190001">
      <w:start w:val="1"/>
      <w:numFmt w:val="bullet"/>
      <w:lvlText w:val=""/>
      <w:lvlJc w:val="left"/>
      <w:pPr>
        <w:tabs>
          <w:tab w:val="num" w:pos="2595"/>
        </w:tabs>
        <w:ind w:left="2595" w:hanging="360"/>
      </w:pPr>
      <w:rPr>
        <w:rFonts w:ascii="Symbol" w:hAnsi="Symbol" w:hint="default"/>
      </w:rPr>
    </w:lvl>
    <w:lvl w:ilvl="4" w:tplc="04190003">
      <w:start w:val="1"/>
      <w:numFmt w:val="bullet"/>
      <w:lvlText w:val="o"/>
      <w:lvlJc w:val="left"/>
      <w:pPr>
        <w:tabs>
          <w:tab w:val="num" w:pos="3315"/>
        </w:tabs>
        <w:ind w:left="3315" w:hanging="360"/>
      </w:pPr>
      <w:rPr>
        <w:rFonts w:ascii="Courier New" w:hAnsi="Courier New" w:cs="Courier New" w:hint="default"/>
      </w:rPr>
    </w:lvl>
    <w:lvl w:ilvl="5" w:tplc="04190005">
      <w:start w:val="1"/>
      <w:numFmt w:val="bullet"/>
      <w:lvlText w:val=""/>
      <w:lvlJc w:val="left"/>
      <w:pPr>
        <w:tabs>
          <w:tab w:val="num" w:pos="4035"/>
        </w:tabs>
        <w:ind w:left="4035" w:hanging="360"/>
      </w:pPr>
      <w:rPr>
        <w:rFonts w:ascii="Wingdings" w:hAnsi="Wingdings" w:hint="default"/>
      </w:rPr>
    </w:lvl>
    <w:lvl w:ilvl="6" w:tplc="04190001">
      <w:start w:val="1"/>
      <w:numFmt w:val="bullet"/>
      <w:lvlText w:val=""/>
      <w:lvlJc w:val="left"/>
      <w:pPr>
        <w:tabs>
          <w:tab w:val="num" w:pos="4755"/>
        </w:tabs>
        <w:ind w:left="4755" w:hanging="360"/>
      </w:pPr>
      <w:rPr>
        <w:rFonts w:ascii="Symbol" w:hAnsi="Symbol" w:hint="default"/>
      </w:rPr>
    </w:lvl>
    <w:lvl w:ilvl="7" w:tplc="04190003">
      <w:start w:val="1"/>
      <w:numFmt w:val="bullet"/>
      <w:lvlText w:val="o"/>
      <w:lvlJc w:val="left"/>
      <w:pPr>
        <w:tabs>
          <w:tab w:val="num" w:pos="5475"/>
        </w:tabs>
        <w:ind w:left="5475" w:hanging="360"/>
      </w:pPr>
      <w:rPr>
        <w:rFonts w:ascii="Courier New" w:hAnsi="Courier New" w:cs="Courier New" w:hint="default"/>
      </w:rPr>
    </w:lvl>
    <w:lvl w:ilvl="8" w:tplc="04190005">
      <w:start w:val="1"/>
      <w:numFmt w:val="bullet"/>
      <w:lvlText w:val=""/>
      <w:lvlJc w:val="left"/>
      <w:pPr>
        <w:tabs>
          <w:tab w:val="num" w:pos="6195"/>
        </w:tabs>
        <w:ind w:left="6195" w:hanging="360"/>
      </w:pPr>
      <w:rPr>
        <w:rFonts w:ascii="Wingdings" w:hAnsi="Wingdings" w:hint="default"/>
      </w:rPr>
    </w:lvl>
  </w:abstractNum>
  <w:abstractNum w:abstractNumId="1" w15:restartNumberingAfterBreak="0">
    <w:nsid w:val="3F0148F4"/>
    <w:multiLevelType w:val="hybridMultilevel"/>
    <w:tmpl w:val="08E479D8"/>
    <w:lvl w:ilvl="0" w:tplc="D3588350">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24C66F6"/>
    <w:multiLevelType w:val="hybridMultilevel"/>
    <w:tmpl w:val="25348608"/>
    <w:lvl w:ilvl="0" w:tplc="71E4B33A">
      <w:numFmt w:val="bullet"/>
      <w:lvlText w:val="-"/>
      <w:lvlJc w:val="left"/>
      <w:pPr>
        <w:ind w:left="1494" w:hanging="360"/>
      </w:pPr>
      <w:rPr>
        <w:rFonts w:ascii="Times New Roman" w:eastAsiaTheme="minorHAnsi" w:hAnsi="Times New Roman" w:cs="Times New Roman" w:hint="default"/>
      </w:rPr>
    </w:lvl>
    <w:lvl w:ilvl="1" w:tplc="04220003" w:tentative="1">
      <w:start w:val="1"/>
      <w:numFmt w:val="bullet"/>
      <w:lvlText w:val="o"/>
      <w:lvlJc w:val="left"/>
      <w:pPr>
        <w:ind w:left="2214" w:hanging="360"/>
      </w:pPr>
      <w:rPr>
        <w:rFonts w:ascii="Courier New" w:hAnsi="Courier New" w:cs="Courier New" w:hint="default"/>
      </w:rPr>
    </w:lvl>
    <w:lvl w:ilvl="2" w:tplc="04220005" w:tentative="1">
      <w:start w:val="1"/>
      <w:numFmt w:val="bullet"/>
      <w:lvlText w:val=""/>
      <w:lvlJc w:val="left"/>
      <w:pPr>
        <w:ind w:left="2934" w:hanging="360"/>
      </w:pPr>
      <w:rPr>
        <w:rFonts w:ascii="Wingdings" w:hAnsi="Wingdings" w:hint="default"/>
      </w:rPr>
    </w:lvl>
    <w:lvl w:ilvl="3" w:tplc="04220001" w:tentative="1">
      <w:start w:val="1"/>
      <w:numFmt w:val="bullet"/>
      <w:lvlText w:val=""/>
      <w:lvlJc w:val="left"/>
      <w:pPr>
        <w:ind w:left="3654" w:hanging="360"/>
      </w:pPr>
      <w:rPr>
        <w:rFonts w:ascii="Symbol" w:hAnsi="Symbol" w:hint="default"/>
      </w:rPr>
    </w:lvl>
    <w:lvl w:ilvl="4" w:tplc="04220003" w:tentative="1">
      <w:start w:val="1"/>
      <w:numFmt w:val="bullet"/>
      <w:lvlText w:val="o"/>
      <w:lvlJc w:val="left"/>
      <w:pPr>
        <w:ind w:left="4374" w:hanging="360"/>
      </w:pPr>
      <w:rPr>
        <w:rFonts w:ascii="Courier New" w:hAnsi="Courier New" w:cs="Courier New" w:hint="default"/>
      </w:rPr>
    </w:lvl>
    <w:lvl w:ilvl="5" w:tplc="04220005" w:tentative="1">
      <w:start w:val="1"/>
      <w:numFmt w:val="bullet"/>
      <w:lvlText w:val=""/>
      <w:lvlJc w:val="left"/>
      <w:pPr>
        <w:ind w:left="5094" w:hanging="360"/>
      </w:pPr>
      <w:rPr>
        <w:rFonts w:ascii="Wingdings" w:hAnsi="Wingdings" w:hint="default"/>
      </w:rPr>
    </w:lvl>
    <w:lvl w:ilvl="6" w:tplc="04220001" w:tentative="1">
      <w:start w:val="1"/>
      <w:numFmt w:val="bullet"/>
      <w:lvlText w:val=""/>
      <w:lvlJc w:val="left"/>
      <w:pPr>
        <w:ind w:left="5814" w:hanging="360"/>
      </w:pPr>
      <w:rPr>
        <w:rFonts w:ascii="Symbol" w:hAnsi="Symbol" w:hint="default"/>
      </w:rPr>
    </w:lvl>
    <w:lvl w:ilvl="7" w:tplc="04220003" w:tentative="1">
      <w:start w:val="1"/>
      <w:numFmt w:val="bullet"/>
      <w:lvlText w:val="o"/>
      <w:lvlJc w:val="left"/>
      <w:pPr>
        <w:ind w:left="6534" w:hanging="360"/>
      </w:pPr>
      <w:rPr>
        <w:rFonts w:ascii="Courier New" w:hAnsi="Courier New" w:cs="Courier New" w:hint="default"/>
      </w:rPr>
    </w:lvl>
    <w:lvl w:ilvl="8" w:tplc="04220005" w:tentative="1">
      <w:start w:val="1"/>
      <w:numFmt w:val="bullet"/>
      <w:lvlText w:val=""/>
      <w:lvlJc w:val="left"/>
      <w:pPr>
        <w:ind w:left="7254" w:hanging="360"/>
      </w:pPr>
      <w:rPr>
        <w:rFonts w:ascii="Wingdings" w:hAnsi="Wingdings" w:hint="default"/>
      </w:rPr>
    </w:lvl>
  </w:abstractNum>
  <w:abstractNum w:abstractNumId="3" w15:restartNumberingAfterBreak="0">
    <w:nsid w:val="66035C8A"/>
    <w:multiLevelType w:val="hybridMultilevel"/>
    <w:tmpl w:val="F4645772"/>
    <w:lvl w:ilvl="0" w:tplc="EE780AA6">
      <w:start w:val="2"/>
      <w:numFmt w:val="bullet"/>
      <w:lvlText w:val="-"/>
      <w:lvlJc w:val="left"/>
      <w:pPr>
        <w:ind w:left="1002" w:hanging="360"/>
      </w:pPr>
      <w:rPr>
        <w:rFonts w:ascii="Times New Roman" w:eastAsia="Times New Roman" w:hAnsi="Times New Roman" w:cs="Times New Roman"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num w:numId="1" w16cid:durableId="1459488708">
    <w:abstractNumId w:val="3"/>
  </w:num>
  <w:num w:numId="2" w16cid:durableId="1139300512">
    <w:abstractNumId w:val="1"/>
  </w:num>
  <w:num w:numId="3" w16cid:durableId="1926300891">
    <w:abstractNumId w:val="0"/>
  </w:num>
  <w:num w:numId="4" w16cid:durableId="1720129083">
    <w:abstractNumId w:val="2"/>
  </w:num>
  <w:num w:numId="5" w16cid:durableId="23294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519F"/>
    <w:rsid w:val="00002CEC"/>
    <w:rsid w:val="00002F8E"/>
    <w:rsid w:val="00006B48"/>
    <w:rsid w:val="0001009D"/>
    <w:rsid w:val="00014621"/>
    <w:rsid w:val="000203F3"/>
    <w:rsid w:val="000258CB"/>
    <w:rsid w:val="00041A35"/>
    <w:rsid w:val="00042008"/>
    <w:rsid w:val="000444BA"/>
    <w:rsid w:val="00046B2C"/>
    <w:rsid w:val="000472F6"/>
    <w:rsid w:val="00047389"/>
    <w:rsid w:val="0005250B"/>
    <w:rsid w:val="00052E1D"/>
    <w:rsid w:val="0005707E"/>
    <w:rsid w:val="00061D7D"/>
    <w:rsid w:val="00061D9A"/>
    <w:rsid w:val="0006742D"/>
    <w:rsid w:val="00081D50"/>
    <w:rsid w:val="00081E0A"/>
    <w:rsid w:val="0008364B"/>
    <w:rsid w:val="00084520"/>
    <w:rsid w:val="00086AF0"/>
    <w:rsid w:val="00095203"/>
    <w:rsid w:val="000A500C"/>
    <w:rsid w:val="000B1601"/>
    <w:rsid w:val="000B1AA9"/>
    <w:rsid w:val="000B50B9"/>
    <w:rsid w:val="000C1452"/>
    <w:rsid w:val="000C4EC6"/>
    <w:rsid w:val="000C5E30"/>
    <w:rsid w:val="000C691C"/>
    <w:rsid w:val="000D756B"/>
    <w:rsid w:val="000E16BE"/>
    <w:rsid w:val="000E7B06"/>
    <w:rsid w:val="000F6152"/>
    <w:rsid w:val="000F7CBE"/>
    <w:rsid w:val="00100639"/>
    <w:rsid w:val="001033B4"/>
    <w:rsid w:val="0011036B"/>
    <w:rsid w:val="001120A6"/>
    <w:rsid w:val="00112A41"/>
    <w:rsid w:val="001137E3"/>
    <w:rsid w:val="00120947"/>
    <w:rsid w:val="00122EDB"/>
    <w:rsid w:val="00125160"/>
    <w:rsid w:val="001252C6"/>
    <w:rsid w:val="0014002A"/>
    <w:rsid w:val="001416E6"/>
    <w:rsid w:val="00142CF9"/>
    <w:rsid w:val="00153455"/>
    <w:rsid w:val="00153B96"/>
    <w:rsid w:val="0015519F"/>
    <w:rsid w:val="00157280"/>
    <w:rsid w:val="00160F27"/>
    <w:rsid w:val="00171AD3"/>
    <w:rsid w:val="001734EC"/>
    <w:rsid w:val="00174462"/>
    <w:rsid w:val="00174B61"/>
    <w:rsid w:val="00175AB5"/>
    <w:rsid w:val="00176135"/>
    <w:rsid w:val="00182657"/>
    <w:rsid w:val="001832FA"/>
    <w:rsid w:val="00186DF0"/>
    <w:rsid w:val="001918FB"/>
    <w:rsid w:val="00192F3E"/>
    <w:rsid w:val="00193019"/>
    <w:rsid w:val="0019724A"/>
    <w:rsid w:val="001A068A"/>
    <w:rsid w:val="001A0988"/>
    <w:rsid w:val="001A101D"/>
    <w:rsid w:val="001A377B"/>
    <w:rsid w:val="001A6D62"/>
    <w:rsid w:val="001B0ED1"/>
    <w:rsid w:val="001B19E5"/>
    <w:rsid w:val="001B2D20"/>
    <w:rsid w:val="001B4A78"/>
    <w:rsid w:val="001B65F0"/>
    <w:rsid w:val="001C2AA2"/>
    <w:rsid w:val="001C42B1"/>
    <w:rsid w:val="001C534A"/>
    <w:rsid w:val="001D572E"/>
    <w:rsid w:val="001E0A7C"/>
    <w:rsid w:val="001E165E"/>
    <w:rsid w:val="001E4FE6"/>
    <w:rsid w:val="001E6B82"/>
    <w:rsid w:val="001F22CE"/>
    <w:rsid w:val="001F3035"/>
    <w:rsid w:val="002008B1"/>
    <w:rsid w:val="00200948"/>
    <w:rsid w:val="00213E81"/>
    <w:rsid w:val="00214F25"/>
    <w:rsid w:val="002162AF"/>
    <w:rsid w:val="00217DE6"/>
    <w:rsid w:val="00224F6D"/>
    <w:rsid w:val="00226C8F"/>
    <w:rsid w:val="00230942"/>
    <w:rsid w:val="00235F9D"/>
    <w:rsid w:val="002415A5"/>
    <w:rsid w:val="00242D30"/>
    <w:rsid w:val="00247F00"/>
    <w:rsid w:val="00252B33"/>
    <w:rsid w:val="002538C7"/>
    <w:rsid w:val="002601F7"/>
    <w:rsid w:val="00264798"/>
    <w:rsid w:val="002661DD"/>
    <w:rsid w:val="002701DF"/>
    <w:rsid w:val="00273277"/>
    <w:rsid w:val="00274B7D"/>
    <w:rsid w:val="00280412"/>
    <w:rsid w:val="00282AEB"/>
    <w:rsid w:val="00284777"/>
    <w:rsid w:val="00287057"/>
    <w:rsid w:val="002930DF"/>
    <w:rsid w:val="002A5EFD"/>
    <w:rsid w:val="002B0454"/>
    <w:rsid w:val="002B4C84"/>
    <w:rsid w:val="002B6A80"/>
    <w:rsid w:val="002B7980"/>
    <w:rsid w:val="002C6622"/>
    <w:rsid w:val="002C666F"/>
    <w:rsid w:val="002C7AE9"/>
    <w:rsid w:val="002D4C97"/>
    <w:rsid w:val="002D6314"/>
    <w:rsid w:val="002E1E77"/>
    <w:rsid w:val="002E2E32"/>
    <w:rsid w:val="002E4687"/>
    <w:rsid w:val="002F2AE4"/>
    <w:rsid w:val="002F5D0C"/>
    <w:rsid w:val="002F7374"/>
    <w:rsid w:val="002F77E6"/>
    <w:rsid w:val="003062E3"/>
    <w:rsid w:val="003067E6"/>
    <w:rsid w:val="003109F7"/>
    <w:rsid w:val="00312858"/>
    <w:rsid w:val="00314556"/>
    <w:rsid w:val="00317C23"/>
    <w:rsid w:val="0032041B"/>
    <w:rsid w:val="00326760"/>
    <w:rsid w:val="003279B5"/>
    <w:rsid w:val="003312BA"/>
    <w:rsid w:val="00331542"/>
    <w:rsid w:val="00337249"/>
    <w:rsid w:val="003377EE"/>
    <w:rsid w:val="003405C7"/>
    <w:rsid w:val="0034277A"/>
    <w:rsid w:val="00342F5C"/>
    <w:rsid w:val="003471AA"/>
    <w:rsid w:val="003506C9"/>
    <w:rsid w:val="00356247"/>
    <w:rsid w:val="003620E2"/>
    <w:rsid w:val="00365288"/>
    <w:rsid w:val="00365B74"/>
    <w:rsid w:val="003665FA"/>
    <w:rsid w:val="00366A45"/>
    <w:rsid w:val="00371FAD"/>
    <w:rsid w:val="003724B9"/>
    <w:rsid w:val="003765C5"/>
    <w:rsid w:val="00376DAF"/>
    <w:rsid w:val="003773EA"/>
    <w:rsid w:val="00377D0D"/>
    <w:rsid w:val="003812DD"/>
    <w:rsid w:val="00383AED"/>
    <w:rsid w:val="00383E2C"/>
    <w:rsid w:val="0038502D"/>
    <w:rsid w:val="00385FC3"/>
    <w:rsid w:val="00390345"/>
    <w:rsid w:val="00391151"/>
    <w:rsid w:val="003932C8"/>
    <w:rsid w:val="00395A16"/>
    <w:rsid w:val="003A3B00"/>
    <w:rsid w:val="003A3CC1"/>
    <w:rsid w:val="003B0062"/>
    <w:rsid w:val="003B4A6D"/>
    <w:rsid w:val="003B6864"/>
    <w:rsid w:val="003C0C8C"/>
    <w:rsid w:val="003C26B1"/>
    <w:rsid w:val="003C5678"/>
    <w:rsid w:val="003D08B2"/>
    <w:rsid w:val="003E25D7"/>
    <w:rsid w:val="003E6CAA"/>
    <w:rsid w:val="003F2708"/>
    <w:rsid w:val="003F30F9"/>
    <w:rsid w:val="003F53AE"/>
    <w:rsid w:val="003F5B94"/>
    <w:rsid w:val="003F7736"/>
    <w:rsid w:val="00402D5E"/>
    <w:rsid w:val="00406EE6"/>
    <w:rsid w:val="004103FF"/>
    <w:rsid w:val="00410A20"/>
    <w:rsid w:val="00412F64"/>
    <w:rsid w:val="004151E5"/>
    <w:rsid w:val="00415394"/>
    <w:rsid w:val="00416A5A"/>
    <w:rsid w:val="00417DF5"/>
    <w:rsid w:val="00422535"/>
    <w:rsid w:val="00422EE4"/>
    <w:rsid w:val="004247AC"/>
    <w:rsid w:val="0043202A"/>
    <w:rsid w:val="004329BB"/>
    <w:rsid w:val="00432D68"/>
    <w:rsid w:val="0043410B"/>
    <w:rsid w:val="00434A5C"/>
    <w:rsid w:val="004358D6"/>
    <w:rsid w:val="00437D25"/>
    <w:rsid w:val="00442E3A"/>
    <w:rsid w:val="004432E8"/>
    <w:rsid w:val="00445035"/>
    <w:rsid w:val="004455F8"/>
    <w:rsid w:val="00446DCF"/>
    <w:rsid w:val="00450989"/>
    <w:rsid w:val="0045098A"/>
    <w:rsid w:val="004509B0"/>
    <w:rsid w:val="00450B9A"/>
    <w:rsid w:val="0045121D"/>
    <w:rsid w:val="00451865"/>
    <w:rsid w:val="00452BD7"/>
    <w:rsid w:val="00453D16"/>
    <w:rsid w:val="004548F8"/>
    <w:rsid w:val="00455139"/>
    <w:rsid w:val="0045652F"/>
    <w:rsid w:val="004608F8"/>
    <w:rsid w:val="0047158C"/>
    <w:rsid w:val="00471593"/>
    <w:rsid w:val="00474FFB"/>
    <w:rsid w:val="00477CF3"/>
    <w:rsid w:val="00483CCE"/>
    <w:rsid w:val="00487AF4"/>
    <w:rsid w:val="00491126"/>
    <w:rsid w:val="00491778"/>
    <w:rsid w:val="004920D7"/>
    <w:rsid w:val="00493720"/>
    <w:rsid w:val="00493EEA"/>
    <w:rsid w:val="00496EB1"/>
    <w:rsid w:val="004A0D0D"/>
    <w:rsid w:val="004B0AD6"/>
    <w:rsid w:val="004B433C"/>
    <w:rsid w:val="004B7942"/>
    <w:rsid w:val="004C12B3"/>
    <w:rsid w:val="004C3C7A"/>
    <w:rsid w:val="004C7ABE"/>
    <w:rsid w:val="004D0188"/>
    <w:rsid w:val="004D127D"/>
    <w:rsid w:val="004D2E83"/>
    <w:rsid w:val="004D6067"/>
    <w:rsid w:val="004D6ED7"/>
    <w:rsid w:val="004E0520"/>
    <w:rsid w:val="004E3636"/>
    <w:rsid w:val="004E6531"/>
    <w:rsid w:val="004F03F8"/>
    <w:rsid w:val="004F3B0F"/>
    <w:rsid w:val="00500835"/>
    <w:rsid w:val="00500BE7"/>
    <w:rsid w:val="00504800"/>
    <w:rsid w:val="00505BB6"/>
    <w:rsid w:val="005124A4"/>
    <w:rsid w:val="00513EFC"/>
    <w:rsid w:val="005228BD"/>
    <w:rsid w:val="00524AAF"/>
    <w:rsid w:val="00526B5F"/>
    <w:rsid w:val="00546CB6"/>
    <w:rsid w:val="00547256"/>
    <w:rsid w:val="00550411"/>
    <w:rsid w:val="005520B2"/>
    <w:rsid w:val="005539C3"/>
    <w:rsid w:val="00554FFF"/>
    <w:rsid w:val="00555781"/>
    <w:rsid w:val="005570D8"/>
    <w:rsid w:val="0056079B"/>
    <w:rsid w:val="00565441"/>
    <w:rsid w:val="0057083D"/>
    <w:rsid w:val="00572DED"/>
    <w:rsid w:val="00573592"/>
    <w:rsid w:val="00574D80"/>
    <w:rsid w:val="00581060"/>
    <w:rsid w:val="00581ED5"/>
    <w:rsid w:val="00582D1A"/>
    <w:rsid w:val="005911C5"/>
    <w:rsid w:val="0059207C"/>
    <w:rsid w:val="00593C7A"/>
    <w:rsid w:val="00594064"/>
    <w:rsid w:val="00594592"/>
    <w:rsid w:val="00594A5C"/>
    <w:rsid w:val="005954CA"/>
    <w:rsid w:val="00595C16"/>
    <w:rsid w:val="005A1707"/>
    <w:rsid w:val="005A176A"/>
    <w:rsid w:val="005C13DF"/>
    <w:rsid w:val="005C5A17"/>
    <w:rsid w:val="005C7503"/>
    <w:rsid w:val="005D66D8"/>
    <w:rsid w:val="005E0062"/>
    <w:rsid w:val="005E5C52"/>
    <w:rsid w:val="005F06C1"/>
    <w:rsid w:val="005F2A1E"/>
    <w:rsid w:val="005F3405"/>
    <w:rsid w:val="006047DE"/>
    <w:rsid w:val="00615025"/>
    <w:rsid w:val="006158E0"/>
    <w:rsid w:val="00617A80"/>
    <w:rsid w:val="0062090D"/>
    <w:rsid w:val="0062575B"/>
    <w:rsid w:val="0062687B"/>
    <w:rsid w:val="006307D3"/>
    <w:rsid w:val="006313B4"/>
    <w:rsid w:val="00643341"/>
    <w:rsid w:val="00645126"/>
    <w:rsid w:val="00654CBA"/>
    <w:rsid w:val="00661778"/>
    <w:rsid w:val="00663CAF"/>
    <w:rsid w:val="006659A6"/>
    <w:rsid w:val="00667DFD"/>
    <w:rsid w:val="00667E01"/>
    <w:rsid w:val="00675A11"/>
    <w:rsid w:val="0068386D"/>
    <w:rsid w:val="00687690"/>
    <w:rsid w:val="00691926"/>
    <w:rsid w:val="00692D89"/>
    <w:rsid w:val="00693C84"/>
    <w:rsid w:val="006A0BD9"/>
    <w:rsid w:val="006A2A47"/>
    <w:rsid w:val="006A4465"/>
    <w:rsid w:val="006B022E"/>
    <w:rsid w:val="006B03D4"/>
    <w:rsid w:val="006B0ACF"/>
    <w:rsid w:val="006B42DD"/>
    <w:rsid w:val="006C743A"/>
    <w:rsid w:val="006E6547"/>
    <w:rsid w:val="006F571C"/>
    <w:rsid w:val="006F5873"/>
    <w:rsid w:val="006F7440"/>
    <w:rsid w:val="007061A8"/>
    <w:rsid w:val="00711920"/>
    <w:rsid w:val="00711B93"/>
    <w:rsid w:val="00711DF3"/>
    <w:rsid w:val="00713891"/>
    <w:rsid w:val="00716299"/>
    <w:rsid w:val="0071640B"/>
    <w:rsid w:val="00726720"/>
    <w:rsid w:val="007278FA"/>
    <w:rsid w:val="00731038"/>
    <w:rsid w:val="00731B98"/>
    <w:rsid w:val="00736F2C"/>
    <w:rsid w:val="0073714F"/>
    <w:rsid w:val="00742C45"/>
    <w:rsid w:val="00742C49"/>
    <w:rsid w:val="00744104"/>
    <w:rsid w:val="007502F1"/>
    <w:rsid w:val="007549A3"/>
    <w:rsid w:val="00755B98"/>
    <w:rsid w:val="00763F2E"/>
    <w:rsid w:val="007644BA"/>
    <w:rsid w:val="007668AE"/>
    <w:rsid w:val="00770A1C"/>
    <w:rsid w:val="007713F5"/>
    <w:rsid w:val="00771E35"/>
    <w:rsid w:val="00773FCB"/>
    <w:rsid w:val="00774535"/>
    <w:rsid w:val="00774BBB"/>
    <w:rsid w:val="00776441"/>
    <w:rsid w:val="00777CCB"/>
    <w:rsid w:val="007814A0"/>
    <w:rsid w:val="0078458D"/>
    <w:rsid w:val="00784CF4"/>
    <w:rsid w:val="0078567B"/>
    <w:rsid w:val="007940FE"/>
    <w:rsid w:val="00796761"/>
    <w:rsid w:val="00797E43"/>
    <w:rsid w:val="007A01F3"/>
    <w:rsid w:val="007A3BAE"/>
    <w:rsid w:val="007A54C3"/>
    <w:rsid w:val="007A6321"/>
    <w:rsid w:val="007B206D"/>
    <w:rsid w:val="007B3187"/>
    <w:rsid w:val="007B69BD"/>
    <w:rsid w:val="007C04F3"/>
    <w:rsid w:val="007C20FF"/>
    <w:rsid w:val="007C52A9"/>
    <w:rsid w:val="007C6BE5"/>
    <w:rsid w:val="007E2961"/>
    <w:rsid w:val="007E644F"/>
    <w:rsid w:val="007E7CD0"/>
    <w:rsid w:val="007F053A"/>
    <w:rsid w:val="007F3600"/>
    <w:rsid w:val="007F677D"/>
    <w:rsid w:val="007F750D"/>
    <w:rsid w:val="008000DB"/>
    <w:rsid w:val="00806308"/>
    <w:rsid w:val="00806408"/>
    <w:rsid w:val="008077D5"/>
    <w:rsid w:val="00810815"/>
    <w:rsid w:val="0081167A"/>
    <w:rsid w:val="0081651B"/>
    <w:rsid w:val="00817F3A"/>
    <w:rsid w:val="00820BB5"/>
    <w:rsid w:val="00821041"/>
    <w:rsid w:val="00821716"/>
    <w:rsid w:val="00826EAA"/>
    <w:rsid w:val="00831706"/>
    <w:rsid w:val="00836DE2"/>
    <w:rsid w:val="00842003"/>
    <w:rsid w:val="008439F3"/>
    <w:rsid w:val="008501FB"/>
    <w:rsid w:val="00856C81"/>
    <w:rsid w:val="00856F30"/>
    <w:rsid w:val="0086214B"/>
    <w:rsid w:val="008636F7"/>
    <w:rsid w:val="00867AF1"/>
    <w:rsid w:val="00875E3D"/>
    <w:rsid w:val="0087702C"/>
    <w:rsid w:val="00880D88"/>
    <w:rsid w:val="00891042"/>
    <w:rsid w:val="00892DBE"/>
    <w:rsid w:val="00896B59"/>
    <w:rsid w:val="00896D72"/>
    <w:rsid w:val="008A20D6"/>
    <w:rsid w:val="008A75C5"/>
    <w:rsid w:val="008A789D"/>
    <w:rsid w:val="008B31BF"/>
    <w:rsid w:val="008B4278"/>
    <w:rsid w:val="008B64F2"/>
    <w:rsid w:val="008C250F"/>
    <w:rsid w:val="008C2C33"/>
    <w:rsid w:val="008C5847"/>
    <w:rsid w:val="008D1B04"/>
    <w:rsid w:val="008D5957"/>
    <w:rsid w:val="008D7F0F"/>
    <w:rsid w:val="008E28D0"/>
    <w:rsid w:val="008E690D"/>
    <w:rsid w:val="008F1EEA"/>
    <w:rsid w:val="00900110"/>
    <w:rsid w:val="009010BB"/>
    <w:rsid w:val="00905918"/>
    <w:rsid w:val="00906B10"/>
    <w:rsid w:val="00907949"/>
    <w:rsid w:val="00911D4F"/>
    <w:rsid w:val="00913201"/>
    <w:rsid w:val="009173E4"/>
    <w:rsid w:val="0091763F"/>
    <w:rsid w:val="00917E39"/>
    <w:rsid w:val="00924DD1"/>
    <w:rsid w:val="00926D92"/>
    <w:rsid w:val="009323C2"/>
    <w:rsid w:val="0094459B"/>
    <w:rsid w:val="00952A4B"/>
    <w:rsid w:val="009549FD"/>
    <w:rsid w:val="00954A1A"/>
    <w:rsid w:val="00956C8B"/>
    <w:rsid w:val="009601FC"/>
    <w:rsid w:val="00966D67"/>
    <w:rsid w:val="009738D4"/>
    <w:rsid w:val="0098167E"/>
    <w:rsid w:val="00982F62"/>
    <w:rsid w:val="00983A47"/>
    <w:rsid w:val="00984594"/>
    <w:rsid w:val="00990BA8"/>
    <w:rsid w:val="00992561"/>
    <w:rsid w:val="00993EBB"/>
    <w:rsid w:val="00996ECF"/>
    <w:rsid w:val="009A5BBB"/>
    <w:rsid w:val="009B4998"/>
    <w:rsid w:val="009B4DB3"/>
    <w:rsid w:val="009B7C60"/>
    <w:rsid w:val="009C33CF"/>
    <w:rsid w:val="009C411A"/>
    <w:rsid w:val="009C5446"/>
    <w:rsid w:val="009C7CB0"/>
    <w:rsid w:val="009E2806"/>
    <w:rsid w:val="009E29FF"/>
    <w:rsid w:val="009E4ADC"/>
    <w:rsid w:val="009E797B"/>
    <w:rsid w:val="009E7ECB"/>
    <w:rsid w:val="009F2402"/>
    <w:rsid w:val="009F4AEF"/>
    <w:rsid w:val="009F58C3"/>
    <w:rsid w:val="009F7BD2"/>
    <w:rsid w:val="009F7CD9"/>
    <w:rsid w:val="00A00190"/>
    <w:rsid w:val="00A02C97"/>
    <w:rsid w:val="00A035CD"/>
    <w:rsid w:val="00A044C8"/>
    <w:rsid w:val="00A07838"/>
    <w:rsid w:val="00A07DE3"/>
    <w:rsid w:val="00A1031D"/>
    <w:rsid w:val="00A106C4"/>
    <w:rsid w:val="00A130C5"/>
    <w:rsid w:val="00A14BAB"/>
    <w:rsid w:val="00A1504F"/>
    <w:rsid w:val="00A21C36"/>
    <w:rsid w:val="00A222A7"/>
    <w:rsid w:val="00A26306"/>
    <w:rsid w:val="00A26A92"/>
    <w:rsid w:val="00A26A9C"/>
    <w:rsid w:val="00A33CB3"/>
    <w:rsid w:val="00A3530C"/>
    <w:rsid w:val="00A35503"/>
    <w:rsid w:val="00A42071"/>
    <w:rsid w:val="00A42108"/>
    <w:rsid w:val="00A42533"/>
    <w:rsid w:val="00A4795D"/>
    <w:rsid w:val="00A514FF"/>
    <w:rsid w:val="00A567B3"/>
    <w:rsid w:val="00A61018"/>
    <w:rsid w:val="00A71CEC"/>
    <w:rsid w:val="00A73F2A"/>
    <w:rsid w:val="00A74941"/>
    <w:rsid w:val="00A76CC9"/>
    <w:rsid w:val="00A81155"/>
    <w:rsid w:val="00A8156A"/>
    <w:rsid w:val="00A81E13"/>
    <w:rsid w:val="00A8308E"/>
    <w:rsid w:val="00A84BBE"/>
    <w:rsid w:val="00A852CC"/>
    <w:rsid w:val="00A85A64"/>
    <w:rsid w:val="00A8694B"/>
    <w:rsid w:val="00A90A89"/>
    <w:rsid w:val="00A9360E"/>
    <w:rsid w:val="00AA1B11"/>
    <w:rsid w:val="00AA21CB"/>
    <w:rsid w:val="00AA273B"/>
    <w:rsid w:val="00AA3CA5"/>
    <w:rsid w:val="00AB4CCC"/>
    <w:rsid w:val="00AC1F83"/>
    <w:rsid w:val="00AC4AA8"/>
    <w:rsid w:val="00AC599B"/>
    <w:rsid w:val="00AC75B0"/>
    <w:rsid w:val="00AC7F70"/>
    <w:rsid w:val="00AD4BEE"/>
    <w:rsid w:val="00AD7FCD"/>
    <w:rsid w:val="00AE0458"/>
    <w:rsid w:val="00AF02D2"/>
    <w:rsid w:val="00AF156B"/>
    <w:rsid w:val="00AF5886"/>
    <w:rsid w:val="00B01FD2"/>
    <w:rsid w:val="00B07351"/>
    <w:rsid w:val="00B0759C"/>
    <w:rsid w:val="00B077C6"/>
    <w:rsid w:val="00B07BD6"/>
    <w:rsid w:val="00B103EC"/>
    <w:rsid w:val="00B1167A"/>
    <w:rsid w:val="00B15C55"/>
    <w:rsid w:val="00B16DDC"/>
    <w:rsid w:val="00B177EE"/>
    <w:rsid w:val="00B20163"/>
    <w:rsid w:val="00B20C56"/>
    <w:rsid w:val="00B21EDA"/>
    <w:rsid w:val="00B22759"/>
    <w:rsid w:val="00B23765"/>
    <w:rsid w:val="00B23F64"/>
    <w:rsid w:val="00B25F81"/>
    <w:rsid w:val="00B31237"/>
    <w:rsid w:val="00B35F7C"/>
    <w:rsid w:val="00B369E8"/>
    <w:rsid w:val="00B417C0"/>
    <w:rsid w:val="00B4507D"/>
    <w:rsid w:val="00B45A10"/>
    <w:rsid w:val="00B478BC"/>
    <w:rsid w:val="00B560A5"/>
    <w:rsid w:val="00B5691C"/>
    <w:rsid w:val="00B5782B"/>
    <w:rsid w:val="00B57ADB"/>
    <w:rsid w:val="00B6225C"/>
    <w:rsid w:val="00B65FD5"/>
    <w:rsid w:val="00B6637E"/>
    <w:rsid w:val="00B66C2B"/>
    <w:rsid w:val="00B80E67"/>
    <w:rsid w:val="00B83CA5"/>
    <w:rsid w:val="00B84D2D"/>
    <w:rsid w:val="00B84E3E"/>
    <w:rsid w:val="00B86EFE"/>
    <w:rsid w:val="00B878AE"/>
    <w:rsid w:val="00B90A0A"/>
    <w:rsid w:val="00B91A57"/>
    <w:rsid w:val="00B91C93"/>
    <w:rsid w:val="00B92FCC"/>
    <w:rsid w:val="00B94E7E"/>
    <w:rsid w:val="00B952FB"/>
    <w:rsid w:val="00BA79C3"/>
    <w:rsid w:val="00BB2038"/>
    <w:rsid w:val="00BB26BD"/>
    <w:rsid w:val="00BB7538"/>
    <w:rsid w:val="00BC1D51"/>
    <w:rsid w:val="00BE300B"/>
    <w:rsid w:val="00BE3E38"/>
    <w:rsid w:val="00BE3F63"/>
    <w:rsid w:val="00BF0573"/>
    <w:rsid w:val="00BF0F77"/>
    <w:rsid w:val="00BF15D8"/>
    <w:rsid w:val="00BF5F1A"/>
    <w:rsid w:val="00C02A1F"/>
    <w:rsid w:val="00C03264"/>
    <w:rsid w:val="00C04F73"/>
    <w:rsid w:val="00C06712"/>
    <w:rsid w:val="00C146AD"/>
    <w:rsid w:val="00C14F3F"/>
    <w:rsid w:val="00C15849"/>
    <w:rsid w:val="00C16236"/>
    <w:rsid w:val="00C242D3"/>
    <w:rsid w:val="00C276D3"/>
    <w:rsid w:val="00C32C61"/>
    <w:rsid w:val="00C33592"/>
    <w:rsid w:val="00C40ABD"/>
    <w:rsid w:val="00C41634"/>
    <w:rsid w:val="00C42157"/>
    <w:rsid w:val="00C43577"/>
    <w:rsid w:val="00C51EA2"/>
    <w:rsid w:val="00C52387"/>
    <w:rsid w:val="00C54967"/>
    <w:rsid w:val="00C55661"/>
    <w:rsid w:val="00C56604"/>
    <w:rsid w:val="00C60447"/>
    <w:rsid w:val="00C61F92"/>
    <w:rsid w:val="00C6474F"/>
    <w:rsid w:val="00C67622"/>
    <w:rsid w:val="00C711F0"/>
    <w:rsid w:val="00C764AC"/>
    <w:rsid w:val="00C76E48"/>
    <w:rsid w:val="00C84D72"/>
    <w:rsid w:val="00C84EA6"/>
    <w:rsid w:val="00C8763B"/>
    <w:rsid w:val="00C955E7"/>
    <w:rsid w:val="00CA267E"/>
    <w:rsid w:val="00CA7E3A"/>
    <w:rsid w:val="00CB3D20"/>
    <w:rsid w:val="00CB41C4"/>
    <w:rsid w:val="00CB7A3E"/>
    <w:rsid w:val="00CC08D4"/>
    <w:rsid w:val="00CC27B7"/>
    <w:rsid w:val="00CD2D23"/>
    <w:rsid w:val="00CD53FB"/>
    <w:rsid w:val="00CE5378"/>
    <w:rsid w:val="00CE771F"/>
    <w:rsid w:val="00D0660A"/>
    <w:rsid w:val="00D06BBA"/>
    <w:rsid w:val="00D12EB2"/>
    <w:rsid w:val="00D22AD9"/>
    <w:rsid w:val="00D23FBD"/>
    <w:rsid w:val="00D2719B"/>
    <w:rsid w:val="00D271E1"/>
    <w:rsid w:val="00D27616"/>
    <w:rsid w:val="00D27D89"/>
    <w:rsid w:val="00D30FE6"/>
    <w:rsid w:val="00D33460"/>
    <w:rsid w:val="00D337A8"/>
    <w:rsid w:val="00D36F77"/>
    <w:rsid w:val="00D42839"/>
    <w:rsid w:val="00D43175"/>
    <w:rsid w:val="00D43312"/>
    <w:rsid w:val="00D509D0"/>
    <w:rsid w:val="00D52193"/>
    <w:rsid w:val="00D52FD7"/>
    <w:rsid w:val="00D55B46"/>
    <w:rsid w:val="00D61563"/>
    <w:rsid w:val="00D65BEB"/>
    <w:rsid w:val="00D72F69"/>
    <w:rsid w:val="00D73A09"/>
    <w:rsid w:val="00D75D12"/>
    <w:rsid w:val="00D849B5"/>
    <w:rsid w:val="00D9159F"/>
    <w:rsid w:val="00D94D87"/>
    <w:rsid w:val="00D9706D"/>
    <w:rsid w:val="00DA0494"/>
    <w:rsid w:val="00DA411A"/>
    <w:rsid w:val="00DA446F"/>
    <w:rsid w:val="00DA5240"/>
    <w:rsid w:val="00DB2F17"/>
    <w:rsid w:val="00DB3876"/>
    <w:rsid w:val="00DB7612"/>
    <w:rsid w:val="00DC2F1C"/>
    <w:rsid w:val="00DD0172"/>
    <w:rsid w:val="00DD2F3C"/>
    <w:rsid w:val="00DD503C"/>
    <w:rsid w:val="00DD53FC"/>
    <w:rsid w:val="00DD5521"/>
    <w:rsid w:val="00DD7E48"/>
    <w:rsid w:val="00DE07B0"/>
    <w:rsid w:val="00DE158F"/>
    <w:rsid w:val="00DE3786"/>
    <w:rsid w:val="00DE3EA0"/>
    <w:rsid w:val="00DE3FD3"/>
    <w:rsid w:val="00DF53DA"/>
    <w:rsid w:val="00DF5F2B"/>
    <w:rsid w:val="00E00A57"/>
    <w:rsid w:val="00E02F12"/>
    <w:rsid w:val="00E04318"/>
    <w:rsid w:val="00E10F96"/>
    <w:rsid w:val="00E1145E"/>
    <w:rsid w:val="00E13C63"/>
    <w:rsid w:val="00E14278"/>
    <w:rsid w:val="00E160C6"/>
    <w:rsid w:val="00E1782E"/>
    <w:rsid w:val="00E2142D"/>
    <w:rsid w:val="00E22ACE"/>
    <w:rsid w:val="00E22BFA"/>
    <w:rsid w:val="00E22D31"/>
    <w:rsid w:val="00E25882"/>
    <w:rsid w:val="00E35AA3"/>
    <w:rsid w:val="00E36227"/>
    <w:rsid w:val="00E37934"/>
    <w:rsid w:val="00E406D2"/>
    <w:rsid w:val="00E41FF0"/>
    <w:rsid w:val="00E44881"/>
    <w:rsid w:val="00E51169"/>
    <w:rsid w:val="00E53147"/>
    <w:rsid w:val="00E5325F"/>
    <w:rsid w:val="00E53F16"/>
    <w:rsid w:val="00E5770E"/>
    <w:rsid w:val="00E6119D"/>
    <w:rsid w:val="00E701B7"/>
    <w:rsid w:val="00E71C69"/>
    <w:rsid w:val="00E72CB9"/>
    <w:rsid w:val="00E731E3"/>
    <w:rsid w:val="00E74719"/>
    <w:rsid w:val="00E76B7A"/>
    <w:rsid w:val="00E7785F"/>
    <w:rsid w:val="00E815AF"/>
    <w:rsid w:val="00E82602"/>
    <w:rsid w:val="00E85FD6"/>
    <w:rsid w:val="00E860EA"/>
    <w:rsid w:val="00E948B4"/>
    <w:rsid w:val="00E94EFE"/>
    <w:rsid w:val="00E95180"/>
    <w:rsid w:val="00EA1112"/>
    <w:rsid w:val="00EA4ABE"/>
    <w:rsid w:val="00EB214C"/>
    <w:rsid w:val="00EB5262"/>
    <w:rsid w:val="00EB5EFD"/>
    <w:rsid w:val="00EC36F8"/>
    <w:rsid w:val="00EC3869"/>
    <w:rsid w:val="00EC3C2D"/>
    <w:rsid w:val="00EC4CC3"/>
    <w:rsid w:val="00EC7335"/>
    <w:rsid w:val="00ED0946"/>
    <w:rsid w:val="00ED2103"/>
    <w:rsid w:val="00ED4279"/>
    <w:rsid w:val="00ED429F"/>
    <w:rsid w:val="00ED55D2"/>
    <w:rsid w:val="00ED5BB4"/>
    <w:rsid w:val="00F01E38"/>
    <w:rsid w:val="00F06253"/>
    <w:rsid w:val="00F064B2"/>
    <w:rsid w:val="00F10362"/>
    <w:rsid w:val="00F13098"/>
    <w:rsid w:val="00F13845"/>
    <w:rsid w:val="00F14CD5"/>
    <w:rsid w:val="00F21C87"/>
    <w:rsid w:val="00F27C5F"/>
    <w:rsid w:val="00F32452"/>
    <w:rsid w:val="00F3330D"/>
    <w:rsid w:val="00F358AF"/>
    <w:rsid w:val="00F36D70"/>
    <w:rsid w:val="00F378D6"/>
    <w:rsid w:val="00F37E84"/>
    <w:rsid w:val="00F422DE"/>
    <w:rsid w:val="00F45C9B"/>
    <w:rsid w:val="00F47752"/>
    <w:rsid w:val="00F51CA8"/>
    <w:rsid w:val="00F522E9"/>
    <w:rsid w:val="00F526B0"/>
    <w:rsid w:val="00F54B50"/>
    <w:rsid w:val="00F562DB"/>
    <w:rsid w:val="00F56A7B"/>
    <w:rsid w:val="00F622F5"/>
    <w:rsid w:val="00F633CD"/>
    <w:rsid w:val="00F67601"/>
    <w:rsid w:val="00F72A10"/>
    <w:rsid w:val="00F76846"/>
    <w:rsid w:val="00F81887"/>
    <w:rsid w:val="00F81A16"/>
    <w:rsid w:val="00F82453"/>
    <w:rsid w:val="00F83946"/>
    <w:rsid w:val="00F8590B"/>
    <w:rsid w:val="00F90B68"/>
    <w:rsid w:val="00F91180"/>
    <w:rsid w:val="00F92923"/>
    <w:rsid w:val="00F95176"/>
    <w:rsid w:val="00F973C9"/>
    <w:rsid w:val="00FA239C"/>
    <w:rsid w:val="00FA29ED"/>
    <w:rsid w:val="00FA2BCF"/>
    <w:rsid w:val="00FA3886"/>
    <w:rsid w:val="00FB4284"/>
    <w:rsid w:val="00FB4A77"/>
    <w:rsid w:val="00FB51DB"/>
    <w:rsid w:val="00FC029C"/>
    <w:rsid w:val="00FC04C8"/>
    <w:rsid w:val="00FC0CFE"/>
    <w:rsid w:val="00FC5D39"/>
    <w:rsid w:val="00FD1772"/>
    <w:rsid w:val="00FD3DB5"/>
    <w:rsid w:val="00FD5358"/>
    <w:rsid w:val="00FE013D"/>
    <w:rsid w:val="00FE27EB"/>
    <w:rsid w:val="00FE4C75"/>
    <w:rsid w:val="00FE6FC6"/>
    <w:rsid w:val="00FF1F3F"/>
    <w:rsid w:val="00FF2206"/>
    <w:rsid w:val="00FF5154"/>
    <w:rsid w:val="00FF5637"/>
    <w:rsid w:val="00FF5954"/>
    <w:rsid w:val="00FF5EE3"/>
    <w:rsid w:val="00FF6AF3"/>
    <w:rsid w:val="00FF6BD1"/>
    <w:rsid w:val="00FF7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FBF9"/>
  <w15:docId w15:val="{931953D8-4959-4D16-AEB2-D27B7652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71E1"/>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D271E1"/>
  </w:style>
  <w:style w:type="paragraph" w:styleId="a5">
    <w:name w:val="footer"/>
    <w:basedOn w:val="a"/>
    <w:link w:val="a6"/>
    <w:uiPriority w:val="99"/>
    <w:unhideWhenUsed/>
    <w:rsid w:val="00D271E1"/>
    <w:pPr>
      <w:tabs>
        <w:tab w:val="center" w:pos="4677"/>
        <w:tab w:val="right" w:pos="9355"/>
      </w:tabs>
      <w:spacing w:after="0" w:line="240" w:lineRule="auto"/>
    </w:pPr>
  </w:style>
  <w:style w:type="character" w:customStyle="1" w:styleId="a6">
    <w:name w:val="Нижній колонтитул Знак"/>
    <w:basedOn w:val="a0"/>
    <w:link w:val="a5"/>
    <w:uiPriority w:val="99"/>
    <w:rsid w:val="00D271E1"/>
  </w:style>
  <w:style w:type="character" w:customStyle="1" w:styleId="uv3um">
    <w:name w:val="uv3um"/>
    <w:basedOn w:val="a0"/>
    <w:rsid w:val="000E16BE"/>
  </w:style>
  <w:style w:type="paragraph" w:styleId="a7">
    <w:name w:val="List Paragraph"/>
    <w:basedOn w:val="a"/>
    <w:uiPriority w:val="1"/>
    <w:qFormat/>
    <w:rsid w:val="00500BE7"/>
    <w:pPr>
      <w:widowControl w:val="0"/>
      <w:autoSpaceDE w:val="0"/>
      <w:autoSpaceDN w:val="0"/>
      <w:spacing w:after="0" w:line="240" w:lineRule="auto"/>
      <w:ind w:left="696" w:firstLine="566"/>
      <w:jc w:val="both"/>
    </w:pPr>
    <w:rPr>
      <w:rFonts w:ascii="Times New Roman" w:eastAsia="Times New Roman" w:hAnsi="Times New Roman" w:cs="Times New Roman"/>
      <w:lang w:val="uk-UA"/>
    </w:rPr>
  </w:style>
  <w:style w:type="paragraph" w:styleId="a8">
    <w:name w:val="No Spacing"/>
    <w:uiPriority w:val="1"/>
    <w:qFormat/>
    <w:rsid w:val="00F973C9"/>
    <w:pPr>
      <w:spacing w:after="0" w:line="240" w:lineRule="auto"/>
    </w:pPr>
    <w:rPr>
      <w:rFonts w:ascii="Calibri" w:eastAsia="Times New Roman" w:hAnsi="Calibri" w:cs="Times New Roman"/>
      <w:lang w:eastAsia="ru-RU"/>
    </w:rPr>
  </w:style>
  <w:style w:type="paragraph" w:customStyle="1" w:styleId="Default">
    <w:name w:val="Default"/>
    <w:rsid w:val="00547256"/>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table" w:styleId="a9">
    <w:name w:val="Table Grid"/>
    <w:basedOn w:val="a1"/>
    <w:uiPriority w:val="39"/>
    <w:rsid w:val="008C5847"/>
    <w:pPr>
      <w:spacing w:after="0" w:line="240" w:lineRule="auto"/>
    </w:pPr>
    <w:rPr>
      <w:kern w:val="2"/>
      <w:sz w:val="24"/>
      <w:szCs w:val="24"/>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D5BB4"/>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ED5B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11893">
      <w:bodyDiv w:val="1"/>
      <w:marLeft w:val="0"/>
      <w:marRight w:val="0"/>
      <w:marTop w:val="0"/>
      <w:marBottom w:val="0"/>
      <w:divBdr>
        <w:top w:val="none" w:sz="0" w:space="0" w:color="auto"/>
        <w:left w:val="none" w:sz="0" w:space="0" w:color="auto"/>
        <w:bottom w:val="none" w:sz="0" w:space="0" w:color="auto"/>
        <w:right w:val="none" w:sz="0" w:space="0" w:color="auto"/>
      </w:divBdr>
    </w:div>
    <w:div w:id="250705219">
      <w:bodyDiv w:val="1"/>
      <w:marLeft w:val="0"/>
      <w:marRight w:val="0"/>
      <w:marTop w:val="0"/>
      <w:marBottom w:val="0"/>
      <w:divBdr>
        <w:top w:val="none" w:sz="0" w:space="0" w:color="auto"/>
        <w:left w:val="none" w:sz="0" w:space="0" w:color="auto"/>
        <w:bottom w:val="none" w:sz="0" w:space="0" w:color="auto"/>
        <w:right w:val="none" w:sz="0" w:space="0" w:color="auto"/>
      </w:divBdr>
    </w:div>
    <w:div w:id="460346330">
      <w:bodyDiv w:val="1"/>
      <w:marLeft w:val="0"/>
      <w:marRight w:val="0"/>
      <w:marTop w:val="0"/>
      <w:marBottom w:val="0"/>
      <w:divBdr>
        <w:top w:val="none" w:sz="0" w:space="0" w:color="auto"/>
        <w:left w:val="none" w:sz="0" w:space="0" w:color="auto"/>
        <w:bottom w:val="none" w:sz="0" w:space="0" w:color="auto"/>
        <w:right w:val="none" w:sz="0" w:space="0" w:color="auto"/>
      </w:divBdr>
    </w:div>
    <w:div w:id="476194178">
      <w:bodyDiv w:val="1"/>
      <w:marLeft w:val="0"/>
      <w:marRight w:val="0"/>
      <w:marTop w:val="0"/>
      <w:marBottom w:val="0"/>
      <w:divBdr>
        <w:top w:val="none" w:sz="0" w:space="0" w:color="auto"/>
        <w:left w:val="none" w:sz="0" w:space="0" w:color="auto"/>
        <w:bottom w:val="none" w:sz="0" w:space="0" w:color="auto"/>
        <w:right w:val="none" w:sz="0" w:space="0" w:color="auto"/>
      </w:divBdr>
    </w:div>
    <w:div w:id="493910666">
      <w:bodyDiv w:val="1"/>
      <w:marLeft w:val="0"/>
      <w:marRight w:val="0"/>
      <w:marTop w:val="0"/>
      <w:marBottom w:val="0"/>
      <w:divBdr>
        <w:top w:val="none" w:sz="0" w:space="0" w:color="auto"/>
        <w:left w:val="none" w:sz="0" w:space="0" w:color="auto"/>
        <w:bottom w:val="none" w:sz="0" w:space="0" w:color="auto"/>
        <w:right w:val="none" w:sz="0" w:space="0" w:color="auto"/>
      </w:divBdr>
    </w:div>
    <w:div w:id="610670905">
      <w:bodyDiv w:val="1"/>
      <w:marLeft w:val="0"/>
      <w:marRight w:val="0"/>
      <w:marTop w:val="0"/>
      <w:marBottom w:val="0"/>
      <w:divBdr>
        <w:top w:val="none" w:sz="0" w:space="0" w:color="auto"/>
        <w:left w:val="none" w:sz="0" w:space="0" w:color="auto"/>
        <w:bottom w:val="none" w:sz="0" w:space="0" w:color="auto"/>
        <w:right w:val="none" w:sz="0" w:space="0" w:color="auto"/>
      </w:divBdr>
    </w:div>
    <w:div w:id="737097963">
      <w:bodyDiv w:val="1"/>
      <w:marLeft w:val="0"/>
      <w:marRight w:val="0"/>
      <w:marTop w:val="0"/>
      <w:marBottom w:val="0"/>
      <w:divBdr>
        <w:top w:val="none" w:sz="0" w:space="0" w:color="auto"/>
        <w:left w:val="none" w:sz="0" w:space="0" w:color="auto"/>
        <w:bottom w:val="none" w:sz="0" w:space="0" w:color="auto"/>
        <w:right w:val="none" w:sz="0" w:space="0" w:color="auto"/>
      </w:divBdr>
    </w:div>
    <w:div w:id="759453357">
      <w:bodyDiv w:val="1"/>
      <w:marLeft w:val="0"/>
      <w:marRight w:val="0"/>
      <w:marTop w:val="0"/>
      <w:marBottom w:val="0"/>
      <w:divBdr>
        <w:top w:val="none" w:sz="0" w:space="0" w:color="auto"/>
        <w:left w:val="none" w:sz="0" w:space="0" w:color="auto"/>
        <w:bottom w:val="none" w:sz="0" w:space="0" w:color="auto"/>
        <w:right w:val="none" w:sz="0" w:space="0" w:color="auto"/>
      </w:divBdr>
    </w:div>
    <w:div w:id="1055006130">
      <w:bodyDiv w:val="1"/>
      <w:marLeft w:val="0"/>
      <w:marRight w:val="0"/>
      <w:marTop w:val="0"/>
      <w:marBottom w:val="0"/>
      <w:divBdr>
        <w:top w:val="none" w:sz="0" w:space="0" w:color="auto"/>
        <w:left w:val="none" w:sz="0" w:space="0" w:color="auto"/>
        <w:bottom w:val="none" w:sz="0" w:space="0" w:color="auto"/>
        <w:right w:val="none" w:sz="0" w:space="0" w:color="auto"/>
      </w:divBdr>
    </w:div>
    <w:div w:id="1262177672">
      <w:bodyDiv w:val="1"/>
      <w:marLeft w:val="0"/>
      <w:marRight w:val="0"/>
      <w:marTop w:val="0"/>
      <w:marBottom w:val="0"/>
      <w:divBdr>
        <w:top w:val="none" w:sz="0" w:space="0" w:color="auto"/>
        <w:left w:val="none" w:sz="0" w:space="0" w:color="auto"/>
        <w:bottom w:val="none" w:sz="0" w:space="0" w:color="auto"/>
        <w:right w:val="none" w:sz="0" w:space="0" w:color="auto"/>
      </w:divBdr>
    </w:div>
    <w:div w:id="1335761106">
      <w:bodyDiv w:val="1"/>
      <w:marLeft w:val="0"/>
      <w:marRight w:val="0"/>
      <w:marTop w:val="0"/>
      <w:marBottom w:val="0"/>
      <w:divBdr>
        <w:top w:val="none" w:sz="0" w:space="0" w:color="auto"/>
        <w:left w:val="none" w:sz="0" w:space="0" w:color="auto"/>
        <w:bottom w:val="none" w:sz="0" w:space="0" w:color="auto"/>
        <w:right w:val="none" w:sz="0" w:space="0" w:color="auto"/>
      </w:divBdr>
    </w:div>
    <w:div w:id="1379162974">
      <w:bodyDiv w:val="1"/>
      <w:marLeft w:val="0"/>
      <w:marRight w:val="0"/>
      <w:marTop w:val="0"/>
      <w:marBottom w:val="0"/>
      <w:divBdr>
        <w:top w:val="none" w:sz="0" w:space="0" w:color="auto"/>
        <w:left w:val="none" w:sz="0" w:space="0" w:color="auto"/>
        <w:bottom w:val="none" w:sz="0" w:space="0" w:color="auto"/>
        <w:right w:val="none" w:sz="0" w:space="0" w:color="auto"/>
      </w:divBdr>
    </w:div>
    <w:div w:id="1522088332">
      <w:bodyDiv w:val="1"/>
      <w:marLeft w:val="0"/>
      <w:marRight w:val="0"/>
      <w:marTop w:val="0"/>
      <w:marBottom w:val="0"/>
      <w:divBdr>
        <w:top w:val="none" w:sz="0" w:space="0" w:color="auto"/>
        <w:left w:val="none" w:sz="0" w:space="0" w:color="auto"/>
        <w:bottom w:val="none" w:sz="0" w:space="0" w:color="auto"/>
        <w:right w:val="none" w:sz="0" w:space="0" w:color="auto"/>
      </w:divBdr>
    </w:div>
    <w:div w:id="1669404120">
      <w:bodyDiv w:val="1"/>
      <w:marLeft w:val="0"/>
      <w:marRight w:val="0"/>
      <w:marTop w:val="0"/>
      <w:marBottom w:val="0"/>
      <w:divBdr>
        <w:top w:val="none" w:sz="0" w:space="0" w:color="auto"/>
        <w:left w:val="none" w:sz="0" w:space="0" w:color="auto"/>
        <w:bottom w:val="none" w:sz="0" w:space="0" w:color="auto"/>
        <w:right w:val="none" w:sz="0" w:space="0" w:color="auto"/>
      </w:divBdr>
    </w:div>
    <w:div w:id="1727488027">
      <w:bodyDiv w:val="1"/>
      <w:marLeft w:val="0"/>
      <w:marRight w:val="0"/>
      <w:marTop w:val="0"/>
      <w:marBottom w:val="0"/>
      <w:divBdr>
        <w:top w:val="none" w:sz="0" w:space="0" w:color="auto"/>
        <w:left w:val="none" w:sz="0" w:space="0" w:color="auto"/>
        <w:bottom w:val="none" w:sz="0" w:space="0" w:color="auto"/>
        <w:right w:val="none" w:sz="0" w:space="0" w:color="auto"/>
      </w:divBdr>
    </w:div>
    <w:div w:id="2006205428">
      <w:bodyDiv w:val="1"/>
      <w:marLeft w:val="0"/>
      <w:marRight w:val="0"/>
      <w:marTop w:val="0"/>
      <w:marBottom w:val="0"/>
      <w:divBdr>
        <w:top w:val="none" w:sz="0" w:space="0" w:color="auto"/>
        <w:left w:val="none" w:sz="0" w:space="0" w:color="auto"/>
        <w:bottom w:val="none" w:sz="0" w:space="0" w:color="auto"/>
        <w:right w:val="none" w:sz="0" w:space="0" w:color="auto"/>
      </w:divBdr>
    </w:div>
    <w:div w:id="211347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1BB88-D282-466E-9B57-A4E4C6711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3441</TotalTime>
  <Pages>17</Pages>
  <Words>35237</Words>
  <Characters>20086</Characters>
  <Application>Microsoft Office Word</Application>
  <DocSecurity>0</DocSecurity>
  <Lines>167</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I</cp:lastModifiedBy>
  <cp:revision>395</cp:revision>
  <cp:lastPrinted>2026-08-19T07:37:00Z</cp:lastPrinted>
  <dcterms:created xsi:type="dcterms:W3CDTF">2025-07-31T08:04:00Z</dcterms:created>
  <dcterms:modified xsi:type="dcterms:W3CDTF">2026-09-02T06:55:00Z</dcterms:modified>
</cp:coreProperties>
</file>