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85" w:rsidRPr="00BE35D2" w:rsidRDefault="00F04385" w:rsidP="00F04385">
      <w:pPr>
        <w:rPr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3004"/>
        <w:gridCol w:w="2434"/>
        <w:gridCol w:w="1383"/>
        <w:gridCol w:w="2392"/>
      </w:tblGrid>
      <w:tr w:rsidR="00F04385" w:rsidRPr="001A1B62" w:rsidTr="00823EE5">
        <w:trPr>
          <w:trHeight w:val="53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4385" w:rsidRPr="001A1B62" w:rsidRDefault="00F04385" w:rsidP="00823EE5">
            <w:pPr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hAnsi="Times New Roman"/>
                <w:b/>
                <w:bCs/>
                <w:caps/>
                <w:color w:val="000000"/>
                <w:spacing w:val="15"/>
                <w:kern w:val="36"/>
                <w:sz w:val="24"/>
                <w:szCs w:val="24"/>
              </w:rPr>
            </w:pPr>
            <w:r w:rsidRPr="001A1B62">
              <w:rPr>
                <w:rFonts w:ascii="Times New Roman" w:hAnsi="Times New Roman"/>
                <w:b/>
                <w:bCs/>
                <w:caps/>
                <w:color w:val="000000"/>
                <w:spacing w:val="15"/>
                <w:kern w:val="36"/>
                <w:sz w:val="24"/>
                <w:szCs w:val="24"/>
              </w:rPr>
              <w:t>Проєкт</w:t>
            </w:r>
          </w:p>
          <w:p w:rsidR="00F04385" w:rsidRPr="001A1B62" w:rsidRDefault="00F04385" w:rsidP="00823EE5">
            <w:pPr>
              <w:spacing w:before="100" w:beforeAutospacing="1" w:after="100" w:afterAutospacing="1"/>
              <w:contextualSpacing/>
              <w:jc w:val="center"/>
              <w:outlineLvl w:val="1"/>
              <w:rPr>
                <w:rFonts w:ascii="Times New Roman" w:hAnsi="Times New Roman"/>
                <w:b/>
                <w:bCs/>
                <w:caps/>
                <w:color w:val="000000"/>
                <w:spacing w:val="15"/>
                <w:kern w:val="36"/>
                <w:sz w:val="24"/>
                <w:szCs w:val="24"/>
              </w:rPr>
            </w:pPr>
            <w:proofErr w:type="gramStart"/>
            <w:r w:rsidRPr="001A1B62">
              <w:rPr>
                <w:rFonts w:ascii="Times New Roman" w:hAnsi="Times New Roman"/>
                <w:b/>
                <w:bCs/>
                <w:caps/>
                <w:color w:val="000000"/>
                <w:spacing w:val="15"/>
                <w:kern w:val="36"/>
                <w:sz w:val="24"/>
                <w:szCs w:val="24"/>
              </w:rPr>
              <w:t>Р</w:t>
            </w:r>
            <w:proofErr w:type="gramEnd"/>
            <w:r w:rsidRPr="001A1B62">
              <w:rPr>
                <w:rFonts w:ascii="Times New Roman" w:hAnsi="Times New Roman"/>
                <w:b/>
                <w:bCs/>
                <w:caps/>
                <w:color w:val="000000"/>
                <w:spacing w:val="15"/>
                <w:kern w:val="36"/>
                <w:sz w:val="24"/>
                <w:szCs w:val="24"/>
              </w:rPr>
              <w:t>ішення</w:t>
            </w:r>
          </w:p>
        </w:tc>
      </w:tr>
      <w:tr w:rsidR="00F04385" w:rsidRPr="001A1B62" w:rsidTr="00823EE5">
        <w:trPr>
          <w:trHeight w:val="3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4385" w:rsidRPr="001A1B62" w:rsidRDefault="00F04385" w:rsidP="00823EE5">
            <w:pPr>
              <w:pStyle w:val="1"/>
              <w:contextualSpacing/>
            </w:pPr>
            <w:r w:rsidRPr="001A1B62">
              <w:t>від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4385" w:rsidRPr="001A1B62" w:rsidRDefault="00F04385" w:rsidP="00823EE5">
            <w:pPr>
              <w:pStyle w:val="1"/>
              <w:contextualSpacing/>
            </w:pPr>
            <w:r w:rsidRPr="001A1B62">
              <w:t xml:space="preserve"> ___  __________ 202</w:t>
            </w:r>
            <w:r>
              <w:t>6</w:t>
            </w:r>
            <w:r w:rsidRPr="001A1B62">
              <w:t xml:space="preserve"> року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4385" w:rsidRPr="001A1B62" w:rsidRDefault="00F04385" w:rsidP="00823EE5">
            <w:pPr>
              <w:pStyle w:val="1"/>
              <w:contextualSpacing/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4385" w:rsidRPr="001A1B62" w:rsidRDefault="00F04385" w:rsidP="00823EE5">
            <w:pPr>
              <w:pStyle w:val="1"/>
              <w:contextualSpacing/>
              <w:jc w:val="right"/>
            </w:pPr>
            <w:r w:rsidRPr="001A1B62">
              <w:t>№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4385" w:rsidRPr="001A1B62" w:rsidRDefault="00F04385" w:rsidP="00823EE5">
            <w:pPr>
              <w:pStyle w:val="1"/>
              <w:contextualSpacing/>
            </w:pPr>
            <w:r w:rsidRPr="001A1B62">
              <w:t xml:space="preserve"> ________</w:t>
            </w:r>
          </w:p>
        </w:tc>
      </w:tr>
      <w:tr w:rsidR="00F04385" w:rsidRPr="001A1B62" w:rsidTr="00823EE5">
        <w:trPr>
          <w:trHeight w:val="44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4385" w:rsidRPr="001A1B62" w:rsidRDefault="00F04385" w:rsidP="00823EE5">
            <w:pPr>
              <w:pStyle w:val="1"/>
              <w:contextualSpacing/>
              <w:jc w:val="center"/>
            </w:pPr>
            <w:r w:rsidRPr="001A1B62">
              <w:t>селище Петрове</w:t>
            </w:r>
          </w:p>
        </w:tc>
      </w:tr>
    </w:tbl>
    <w:p w:rsidR="00F04385" w:rsidRPr="001A1B62" w:rsidRDefault="00F04385" w:rsidP="00F0438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4385" w:rsidRPr="001A1B62" w:rsidRDefault="00F04385" w:rsidP="00F0438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4385" w:rsidRPr="001A1B62" w:rsidRDefault="00F04385" w:rsidP="00F0438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4385" w:rsidRDefault="00F04385" w:rsidP="00F043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внесення змін до </w:t>
      </w:r>
      <w:r w:rsidRPr="004632E8">
        <w:rPr>
          <w:rFonts w:ascii="Times New Roman" w:hAnsi="Times New Roman"/>
          <w:b/>
          <w:sz w:val="24"/>
          <w:szCs w:val="24"/>
          <w:lang w:val="uk-UA"/>
        </w:rPr>
        <w:t xml:space="preserve"> склад комісії щодо розгляду заяв про призначення </w:t>
      </w:r>
    </w:p>
    <w:p w:rsidR="00F04385" w:rsidRDefault="00F04385" w:rsidP="00F043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632E8">
        <w:rPr>
          <w:rFonts w:ascii="Times New Roman" w:hAnsi="Times New Roman"/>
          <w:b/>
          <w:sz w:val="24"/>
          <w:szCs w:val="24"/>
          <w:lang w:val="uk-UA"/>
        </w:rPr>
        <w:t>грошової компенсації за належні для отримання жилі приміщення</w:t>
      </w:r>
    </w:p>
    <w:p w:rsidR="00F04385" w:rsidRDefault="00F04385" w:rsidP="00F043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632E8">
        <w:rPr>
          <w:rFonts w:ascii="Times New Roman" w:hAnsi="Times New Roman"/>
          <w:b/>
          <w:sz w:val="24"/>
          <w:szCs w:val="24"/>
          <w:lang w:val="uk-UA"/>
        </w:rPr>
        <w:t xml:space="preserve">при виконавчому комітеті </w:t>
      </w:r>
      <w:proofErr w:type="spellStart"/>
      <w:r w:rsidRPr="004632E8">
        <w:rPr>
          <w:rFonts w:ascii="Times New Roman" w:hAnsi="Times New Roman"/>
          <w:b/>
          <w:sz w:val="24"/>
          <w:szCs w:val="24"/>
          <w:lang w:val="uk-UA"/>
        </w:rPr>
        <w:t>Петрівської</w:t>
      </w:r>
      <w:proofErr w:type="spellEnd"/>
      <w:r w:rsidRPr="004632E8">
        <w:rPr>
          <w:rFonts w:ascii="Times New Roman" w:hAnsi="Times New Roman"/>
          <w:b/>
          <w:sz w:val="24"/>
          <w:szCs w:val="24"/>
          <w:lang w:val="uk-UA"/>
        </w:rPr>
        <w:t xml:space="preserve"> селищної ради</w:t>
      </w:r>
    </w:p>
    <w:p w:rsidR="00F04385" w:rsidRDefault="00F04385" w:rsidP="00F043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04385" w:rsidRDefault="00F04385" w:rsidP="00F043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04385" w:rsidRPr="004632E8" w:rsidRDefault="00F04385" w:rsidP="00F043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04385" w:rsidRDefault="00F04385" w:rsidP="00F0438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4632E8">
        <w:rPr>
          <w:rFonts w:ascii="Times New Roman" w:hAnsi="Times New Roman"/>
          <w:lang w:val="uk-UA"/>
        </w:rPr>
        <w:t>Керуючись статтею 51, частиною 6 статті 59 Закону України «Про місцеве самоврядування в Україні», відповідно до постанови Кабінету Міністрів України від 19 жовтня 2016 року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постанови Кабінету Міністрів України від 28 березня 2018 року № 214 «Питання забезпечення житлом деяких категорій осіб, які брали участь у бойових діях на території інших держав, а також членів їх сімей», постанови Кабінету Міністрів України від 18 квітня 2018 року № 280 «Питання забезпечення житлом внутрішньо переміщених осіб, які захищали незалежність, суверенітет та територіальну цілісність України» та постанови Кабінету Міністрів України від 20 лютого 2019 року № 206 «Питання забезпечення житлом деяких категорій осіб, які брали участь в Революції Гідності, а також членів їх сімей» та у зв'язку з кадровими змінами, виконавчий комітет селищної ради</w:t>
      </w:r>
    </w:p>
    <w:p w:rsidR="00F04385" w:rsidRPr="001A1B62" w:rsidRDefault="00F04385" w:rsidP="00F043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A1B6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 И Р І Ш И В:</w:t>
      </w:r>
    </w:p>
    <w:p w:rsidR="00F04385" w:rsidRDefault="00F04385" w:rsidP="00F04385">
      <w:pPr>
        <w:jc w:val="both"/>
        <w:rPr>
          <w:rFonts w:ascii="Times New Roman" w:hAnsi="Times New Roman"/>
          <w:lang w:val="uk-UA"/>
        </w:rPr>
      </w:pPr>
    </w:p>
    <w:p w:rsidR="00F04385" w:rsidRDefault="00F04385" w:rsidP="00F04385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1. </w:t>
      </w:r>
      <w:r w:rsidRPr="004632E8">
        <w:rPr>
          <w:rFonts w:ascii="Times New Roman" w:hAnsi="Times New Roman"/>
          <w:lang w:val="uk-UA"/>
        </w:rPr>
        <w:t xml:space="preserve">Затвердити новий склад комісії щодо розгляду заяв про призначення грошової компенсації за належні для отримання жилі приміщення при виконавчому комітеті </w:t>
      </w:r>
      <w:proofErr w:type="spellStart"/>
      <w:r w:rsidRPr="004632E8">
        <w:rPr>
          <w:rFonts w:ascii="Times New Roman" w:hAnsi="Times New Roman"/>
          <w:lang w:val="uk-UA"/>
        </w:rPr>
        <w:t>Петрівськ</w:t>
      </w:r>
      <w:r>
        <w:rPr>
          <w:rFonts w:ascii="Times New Roman" w:hAnsi="Times New Roman"/>
          <w:lang w:val="uk-UA"/>
        </w:rPr>
        <w:t>ої</w:t>
      </w:r>
      <w:proofErr w:type="spellEnd"/>
      <w:r>
        <w:rPr>
          <w:rFonts w:ascii="Times New Roman" w:hAnsi="Times New Roman"/>
          <w:lang w:val="uk-UA"/>
        </w:rPr>
        <w:t xml:space="preserve"> селищної ради, що додається.</w:t>
      </w:r>
    </w:p>
    <w:p w:rsidR="00F04385" w:rsidRPr="00BF3DD7" w:rsidRDefault="00F04385" w:rsidP="00F04385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2. </w:t>
      </w:r>
      <w:r w:rsidRPr="004632E8">
        <w:rPr>
          <w:rFonts w:ascii="Times New Roman" w:hAnsi="Times New Roman"/>
          <w:lang w:val="uk-UA"/>
        </w:rPr>
        <w:t xml:space="preserve">Визнати таким, що втратив чинність, склад комісії щодо розгляду заяв про призначення грошової компенсації за належні для отримання жилі приміщення при виконавчому комітеті </w:t>
      </w:r>
      <w:proofErr w:type="spellStart"/>
      <w:r w:rsidRPr="004632E8">
        <w:rPr>
          <w:rFonts w:ascii="Times New Roman" w:hAnsi="Times New Roman"/>
          <w:lang w:val="uk-UA"/>
        </w:rPr>
        <w:t>Петрівської</w:t>
      </w:r>
      <w:proofErr w:type="spellEnd"/>
      <w:r w:rsidRPr="004632E8">
        <w:rPr>
          <w:rFonts w:ascii="Times New Roman" w:hAnsi="Times New Roman"/>
          <w:lang w:val="uk-UA"/>
        </w:rPr>
        <w:t xml:space="preserve"> селищної ради, затверджений рішенням виконавчого комітету </w:t>
      </w:r>
      <w:proofErr w:type="spellStart"/>
      <w:r w:rsidRPr="004632E8">
        <w:rPr>
          <w:rFonts w:ascii="Times New Roman" w:hAnsi="Times New Roman"/>
          <w:lang w:val="uk-UA"/>
        </w:rPr>
        <w:t>Петрівської</w:t>
      </w:r>
      <w:proofErr w:type="spellEnd"/>
      <w:r w:rsidRPr="004632E8">
        <w:rPr>
          <w:rFonts w:ascii="Times New Roman" w:hAnsi="Times New Roman"/>
          <w:lang w:val="uk-UA"/>
        </w:rPr>
        <w:t xml:space="preserve"> селищної ради </w:t>
      </w:r>
      <w:r>
        <w:rPr>
          <w:rFonts w:ascii="Times New Roman" w:hAnsi="Times New Roman"/>
          <w:lang w:val="uk-UA"/>
        </w:rPr>
        <w:t xml:space="preserve">            </w:t>
      </w:r>
      <w:r w:rsidRPr="004632E8">
        <w:rPr>
          <w:rFonts w:ascii="Times New Roman" w:hAnsi="Times New Roman"/>
          <w:lang w:val="uk-UA"/>
        </w:rPr>
        <w:t xml:space="preserve">від </w:t>
      </w:r>
      <w:r>
        <w:rPr>
          <w:rFonts w:ascii="Times New Roman" w:hAnsi="Times New Roman"/>
          <w:lang w:val="uk-UA"/>
        </w:rPr>
        <w:t>26</w:t>
      </w:r>
      <w:r w:rsidRPr="004632E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червня 2025</w:t>
      </w:r>
      <w:r w:rsidRPr="004632E8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306</w:t>
      </w:r>
      <w:r w:rsidRPr="004632E8">
        <w:rPr>
          <w:rFonts w:ascii="Times New Roman" w:hAnsi="Times New Roman"/>
          <w:lang w:val="uk-UA"/>
        </w:rPr>
        <w:t xml:space="preserve"> «Про </w:t>
      </w:r>
      <w:r>
        <w:rPr>
          <w:rFonts w:ascii="Times New Roman" w:hAnsi="Times New Roman"/>
          <w:lang w:val="uk-UA"/>
        </w:rPr>
        <w:t>новий склад</w:t>
      </w:r>
      <w:r w:rsidRPr="004632E8">
        <w:rPr>
          <w:rFonts w:ascii="Times New Roman" w:hAnsi="Times New Roman"/>
          <w:lang w:val="uk-UA"/>
        </w:rPr>
        <w:t xml:space="preserve"> комісії щодо розгляду заяв </w:t>
      </w:r>
      <w:r>
        <w:rPr>
          <w:rFonts w:ascii="Times New Roman" w:hAnsi="Times New Roman"/>
          <w:lang w:val="uk-UA"/>
        </w:rPr>
        <w:t xml:space="preserve">про призначення грошової компенсації за належні для отримання жилі приміщення  при виконавчому комітеті </w:t>
      </w:r>
      <w:proofErr w:type="spellStart"/>
      <w:r w:rsidRPr="004632E8">
        <w:rPr>
          <w:rFonts w:ascii="Times New Roman" w:hAnsi="Times New Roman"/>
          <w:lang w:val="uk-UA"/>
        </w:rPr>
        <w:t>Петрівської</w:t>
      </w:r>
      <w:proofErr w:type="spellEnd"/>
      <w:r w:rsidRPr="004632E8">
        <w:rPr>
          <w:rFonts w:ascii="Times New Roman" w:hAnsi="Times New Roman"/>
          <w:lang w:val="uk-UA"/>
        </w:rPr>
        <w:t xml:space="preserve"> селищної ради».</w:t>
      </w:r>
      <w:r w:rsidRPr="007E21C0">
        <w:rPr>
          <w:rFonts w:ascii="Times New Roman" w:eastAsia="SimSun" w:hAnsi="Times New Roman" w:cstheme="minorBidi"/>
          <w:b/>
          <w:sz w:val="28"/>
          <w:szCs w:val="28"/>
          <w:lang w:val="uk-UA" w:eastAsia="ru-RU"/>
        </w:rPr>
        <w:t xml:space="preserve"> </w:t>
      </w:r>
    </w:p>
    <w:p w:rsidR="00F04385" w:rsidRDefault="00F04385" w:rsidP="00F04385">
      <w:pPr>
        <w:jc w:val="both"/>
        <w:rPr>
          <w:rFonts w:ascii="Times New Roman" w:eastAsia="SimSun" w:hAnsi="Times New Roman" w:cstheme="minorBidi"/>
          <w:b/>
          <w:sz w:val="28"/>
          <w:szCs w:val="28"/>
          <w:lang w:val="uk-UA" w:eastAsia="ru-RU"/>
        </w:rPr>
      </w:pPr>
    </w:p>
    <w:p w:rsidR="00F04385" w:rsidRPr="007E21C0" w:rsidRDefault="00F04385" w:rsidP="00F04385">
      <w:pPr>
        <w:jc w:val="both"/>
        <w:rPr>
          <w:rFonts w:ascii="Times New Roman" w:hAnsi="Times New Roman"/>
          <w:b/>
          <w:lang w:val="uk-UA"/>
        </w:rPr>
      </w:pPr>
      <w:r w:rsidRPr="007E21C0">
        <w:rPr>
          <w:rFonts w:ascii="Times New Roman" w:hAnsi="Times New Roman"/>
          <w:b/>
          <w:lang w:val="uk-UA"/>
        </w:rPr>
        <w:t xml:space="preserve">Заступник селищного голови                                       </w:t>
      </w:r>
      <w:r>
        <w:rPr>
          <w:rFonts w:ascii="Times New Roman" w:hAnsi="Times New Roman"/>
          <w:b/>
          <w:lang w:val="uk-UA"/>
        </w:rPr>
        <w:t xml:space="preserve">                                  </w:t>
      </w:r>
      <w:r w:rsidRPr="007E21C0">
        <w:rPr>
          <w:rFonts w:ascii="Times New Roman" w:hAnsi="Times New Roman"/>
          <w:b/>
          <w:lang w:val="uk-UA"/>
        </w:rPr>
        <w:t>Андрій СИДОРЕНКО</w:t>
      </w:r>
    </w:p>
    <w:p w:rsidR="00F04385" w:rsidRDefault="00F04385" w:rsidP="00F04385">
      <w:pPr>
        <w:jc w:val="both"/>
        <w:rPr>
          <w:rFonts w:ascii="Times New Roman" w:hAnsi="Times New Roman"/>
          <w:lang w:val="uk-UA"/>
        </w:rPr>
      </w:pPr>
    </w:p>
    <w:p w:rsidR="00F04385" w:rsidRDefault="00F04385" w:rsidP="00F04385">
      <w:pPr>
        <w:jc w:val="both"/>
        <w:rPr>
          <w:rFonts w:ascii="Times New Roman" w:hAnsi="Times New Roman"/>
          <w:lang w:val="uk-UA"/>
        </w:rPr>
      </w:pPr>
    </w:p>
    <w:p w:rsidR="00F04385" w:rsidRDefault="00F04385" w:rsidP="00F04385">
      <w:pPr>
        <w:jc w:val="both"/>
        <w:rPr>
          <w:rFonts w:ascii="Times New Roman" w:hAnsi="Times New Roman"/>
          <w:lang w:val="uk-UA"/>
        </w:rPr>
      </w:pPr>
    </w:p>
    <w:p w:rsidR="00F04385" w:rsidRPr="004632E8" w:rsidRDefault="00F04385" w:rsidP="00F04385">
      <w:pPr>
        <w:jc w:val="both"/>
        <w:rPr>
          <w:rFonts w:ascii="Times New Roman" w:hAnsi="Times New Roman"/>
          <w:lang w:val="uk-UA"/>
        </w:rPr>
      </w:pPr>
    </w:p>
    <w:p w:rsidR="00EE7013" w:rsidRDefault="00EE7013">
      <w:bookmarkStart w:id="0" w:name="_GoBack"/>
      <w:bookmarkEnd w:id="0"/>
    </w:p>
    <w:sectPr w:rsidR="00EE70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85"/>
    <w:rsid w:val="00EE7013"/>
    <w:rsid w:val="00F0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8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F04385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8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F04385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</cp:revision>
  <dcterms:created xsi:type="dcterms:W3CDTF">2026-05-18T13:25:00Z</dcterms:created>
  <dcterms:modified xsi:type="dcterms:W3CDTF">2026-05-18T13:26:00Z</dcterms:modified>
</cp:coreProperties>
</file>