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B1" w:rsidRPr="001129B1" w:rsidRDefault="001129B1" w:rsidP="001129B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</w:pPr>
      <w:r w:rsidRPr="001129B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  <w:t xml:space="preserve">Як підприємцям облаштувати </w:t>
      </w:r>
      <w:proofErr w:type="spellStart"/>
      <w:r w:rsidRPr="001129B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  <w:t>безбар</w:t>
      </w:r>
      <w:proofErr w:type="spellEnd"/>
      <w:r w:rsidRPr="001129B1">
        <w:rPr>
          <w:rFonts w:ascii="Times New Roman" w:eastAsia="Times New Roman" w:hAnsi="Times New Roman" w:cs="Times New Roman"/>
          <w:b/>
          <w:color w:val="212529"/>
          <w:sz w:val="36"/>
          <w:szCs w:val="36"/>
          <w:lang w:val="ru-RU" w:eastAsia="uk-UA"/>
        </w:rPr>
        <w:t>’</w:t>
      </w:r>
      <w:proofErr w:type="spellStart"/>
      <w:r w:rsidRPr="001129B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  <w:t>єрний</w:t>
      </w:r>
      <w:proofErr w:type="spellEnd"/>
      <w:r w:rsidRPr="001129B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  <w:t xml:space="preserve"> доступ до об</w:t>
      </w:r>
      <w:r w:rsidRPr="001129B1">
        <w:rPr>
          <w:rFonts w:ascii="Times New Roman" w:eastAsia="Times New Roman" w:hAnsi="Times New Roman" w:cs="Times New Roman"/>
          <w:b/>
          <w:color w:val="212529"/>
          <w:sz w:val="36"/>
          <w:szCs w:val="36"/>
          <w:lang w:val="ru-RU" w:eastAsia="uk-UA"/>
        </w:rPr>
        <w:t>’</w:t>
      </w:r>
      <w:proofErr w:type="spellStart"/>
      <w:r w:rsidRPr="001129B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  <w:t>єкту</w:t>
      </w:r>
      <w:proofErr w:type="spellEnd"/>
      <w:r w:rsidRPr="001129B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uk-UA"/>
        </w:rPr>
        <w:t xml:space="preserve"> бізнесу</w:t>
      </w:r>
    </w:p>
    <w:p w:rsidR="001129B1" w:rsidRPr="001129B1" w:rsidRDefault="001129B1" w:rsidP="001129B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uk-UA"/>
        </w:rPr>
      </w:pPr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754629B3" wp14:editId="1FBAA054">
            <wp:extent cx="4349364" cy="2899574"/>
            <wp:effectExtent l="0" t="0" r="0" b="0"/>
            <wp:docPr id="1" name="Рисунок 1" descr="https://mindev.gov.ua/storage/app/sites/1/uploaded-files/pers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indev.gov.ua/storage/app/sites/1/uploaded-files/persi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903" cy="290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9B1" w:rsidRPr="001129B1" w:rsidRDefault="001129B1" w:rsidP="001129B1">
      <w:pPr>
        <w:spacing w:after="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В Україні діють державні будівельні норми </w:t>
      </w:r>
      <w:hyperlink r:id="rId7" w:tgtFrame="_blank" w:history="1">
        <w:r w:rsidRPr="001129B1">
          <w:rPr>
            <w:rFonts w:ascii="e-ukraine" w:eastAsia="Times New Roman" w:hAnsi="e-ukraine" w:cs="Times New Roman"/>
            <w:color w:val="000000"/>
            <w:sz w:val="24"/>
            <w:szCs w:val="24"/>
            <w:u w:val="single"/>
            <w:bdr w:val="none" w:sz="0" w:space="0" w:color="auto" w:frame="1"/>
            <w:lang w:eastAsia="uk-UA"/>
          </w:rPr>
          <w:t>«</w:t>
        </w:r>
        <w:proofErr w:type="spellStart"/>
        <w:r w:rsidRPr="001129B1">
          <w:rPr>
            <w:rFonts w:ascii="e-ukraine" w:eastAsia="Times New Roman" w:hAnsi="e-ukraine" w:cs="Times New Roman"/>
            <w:color w:val="000000"/>
            <w:sz w:val="24"/>
            <w:szCs w:val="24"/>
            <w:u w:val="single"/>
            <w:bdr w:val="none" w:sz="0" w:space="0" w:color="auto" w:frame="1"/>
            <w:lang w:eastAsia="uk-UA"/>
          </w:rPr>
          <w:t>Інклюзивність</w:t>
        </w:r>
        <w:proofErr w:type="spellEnd"/>
        <w:r w:rsidRPr="001129B1">
          <w:rPr>
            <w:rFonts w:ascii="e-ukraine" w:eastAsia="Times New Roman" w:hAnsi="e-ukraine" w:cs="Times New Roman"/>
            <w:color w:val="000000"/>
            <w:sz w:val="24"/>
            <w:szCs w:val="24"/>
            <w:u w:val="single"/>
            <w:bdr w:val="none" w:sz="0" w:space="0" w:color="auto" w:frame="1"/>
            <w:lang w:eastAsia="uk-UA"/>
          </w:rPr>
          <w:t xml:space="preserve"> будівель і споруд»</w:t>
        </w:r>
      </w:hyperlink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 xml:space="preserve">, які встановлюють обов’язкові вимоги до створення безперешкодного доступу для всіх </w:t>
      </w:r>
      <w:proofErr w:type="spellStart"/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маломобільних</w:t>
      </w:r>
      <w:proofErr w:type="spellEnd"/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 xml:space="preserve"> груп населення.</w:t>
      </w:r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Визначені чіткі параметри для облаштування безпечних і зручних пандусів, підйомників та інших засобів доступності під час будівництва або реконструкції житлових і громадських об’єктів.</w:t>
      </w:r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 xml:space="preserve">У межах флагманського </w:t>
      </w:r>
      <w:proofErr w:type="spellStart"/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 xml:space="preserve"> Міністерства розвитку громад та територій «Рух без бар’єрів» у 15 пілотних громадах до </w:t>
      </w:r>
      <w:proofErr w:type="spellStart"/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безбар’єрних</w:t>
      </w:r>
      <w:proofErr w:type="spellEnd"/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 xml:space="preserve"> маршрутів першої черги вже включено понад 400 об’єктів бізнесу.</w:t>
      </w:r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58307878" wp14:editId="568A84BC">
            <wp:extent cx="4699221" cy="3132813"/>
            <wp:effectExtent l="0" t="0" r="6350" b="0"/>
            <wp:docPr id="2" name="Рисунок 2" descr="https://mindev.gov.ua/storage/app/sites/1/uploaded-files/drug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indev.gov.ua/storage/app/sites/1/uploaded-files/drugi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152" cy="313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lastRenderedPageBreak/>
        <w:t>Майже 80% місцевих підприємців підписали меморандуми з органами влади, засвідчивши готовність модернізувати власні об’єкти та зробити їх доступними для всіх відвідувачів.</w:t>
      </w:r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 xml:space="preserve">Законодавство передбачає спрощену процедуру для облаштування елементів </w:t>
      </w:r>
      <w:proofErr w:type="spellStart"/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безбар’єрності</w:t>
      </w:r>
      <w:proofErr w:type="spellEnd"/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.</w:t>
      </w:r>
    </w:p>
    <w:p w:rsidR="001129B1" w:rsidRPr="001129B1" w:rsidRDefault="001129B1" w:rsidP="001129B1">
      <w:pPr>
        <w:spacing w:after="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Влаштування засобів безперешкодного доступу до будинків, будівель, споруд будь-якого призначення, їх комплексів та частин, об’єктів інженерно-транспортної інфраструктури, не потребує дозвільних документів на їх виконання, та здачі в експлуатацію. Це передбачено </w:t>
      </w:r>
      <w:hyperlink r:id="rId9" w:anchor="Text" w:tgtFrame="_blank" w:history="1">
        <w:r w:rsidRPr="001129B1">
          <w:rPr>
            <w:rFonts w:ascii="e-ukraine" w:eastAsia="Times New Roman" w:hAnsi="e-ukraine" w:cs="Times New Roman"/>
            <w:color w:val="000000"/>
            <w:sz w:val="24"/>
            <w:szCs w:val="24"/>
            <w:u w:val="single"/>
            <w:bdr w:val="none" w:sz="0" w:space="0" w:color="auto" w:frame="1"/>
            <w:lang w:eastAsia="uk-UA"/>
          </w:rPr>
          <w:t>Постановою № 406</w:t>
        </w:r>
      </w:hyperlink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288E10AC" wp14:editId="6D22581E">
            <wp:extent cx="4524293" cy="3016195"/>
            <wp:effectExtent l="0" t="0" r="0" b="0"/>
            <wp:docPr id="3" name="Рисунок 3" descr="https://mindev.gov.ua/storage/app/sites/1/uploaded-files/tret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indev.gov.ua/storage/app/sites/1/uploaded-files/tretii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619" cy="301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Згідно з Переліком будівельних робіт, зокрема, для облаштування пандуса або електричного підйомника, тактильної та візуальної навігації тощо підприємцям не потрібно:</w:t>
      </w:r>
    </w:p>
    <w:p w:rsidR="001129B1" w:rsidRPr="001129B1" w:rsidRDefault="001129B1" w:rsidP="001129B1">
      <w:pPr>
        <w:numPr>
          <w:ilvl w:val="0"/>
          <w:numId w:val="1"/>
        </w:numPr>
        <w:spacing w:before="100" w:beforeAutospacing="1" w:after="100" w:afterAutospacing="1" w:line="360" w:lineRule="atLeast"/>
        <w:ind w:left="-300"/>
        <w:jc w:val="both"/>
        <w:textAlignment w:val="baseline"/>
        <w:rPr>
          <w:rFonts w:ascii="e-ukraine" w:eastAsia="Times New Roman" w:hAnsi="e-ukraine" w:cs="Times New Roman"/>
          <w:color w:val="212529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212529"/>
          <w:sz w:val="24"/>
          <w:szCs w:val="24"/>
          <w:lang w:eastAsia="uk-UA"/>
        </w:rPr>
        <w:t>оформлювати право власності на землю;</w:t>
      </w:r>
    </w:p>
    <w:p w:rsidR="001129B1" w:rsidRPr="001129B1" w:rsidRDefault="001129B1" w:rsidP="001129B1">
      <w:pPr>
        <w:numPr>
          <w:ilvl w:val="0"/>
          <w:numId w:val="1"/>
        </w:numPr>
        <w:spacing w:before="100" w:beforeAutospacing="1" w:after="100" w:afterAutospacing="1" w:line="360" w:lineRule="atLeast"/>
        <w:ind w:left="-300"/>
        <w:jc w:val="both"/>
        <w:textAlignment w:val="baseline"/>
        <w:rPr>
          <w:rFonts w:ascii="e-ukraine" w:eastAsia="Times New Roman" w:hAnsi="e-ukraine" w:cs="Times New Roman"/>
          <w:color w:val="212529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212529"/>
          <w:sz w:val="24"/>
          <w:szCs w:val="24"/>
          <w:lang w:eastAsia="uk-UA"/>
        </w:rPr>
        <w:t>отримувати дозволи на будівельні роботи (окрім реставрації об'єктів культурної спадщини);</w:t>
      </w:r>
    </w:p>
    <w:p w:rsidR="001129B1" w:rsidRPr="001129B1" w:rsidRDefault="001129B1" w:rsidP="001129B1">
      <w:pPr>
        <w:numPr>
          <w:ilvl w:val="0"/>
          <w:numId w:val="1"/>
        </w:numPr>
        <w:spacing w:before="100" w:beforeAutospacing="1" w:after="0" w:line="360" w:lineRule="atLeast"/>
        <w:ind w:left="-300"/>
        <w:jc w:val="both"/>
        <w:textAlignment w:val="baseline"/>
        <w:rPr>
          <w:rFonts w:ascii="e-ukraine" w:eastAsia="Times New Roman" w:hAnsi="e-ukraine" w:cs="Times New Roman"/>
          <w:color w:val="212529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212529"/>
          <w:sz w:val="24"/>
          <w:szCs w:val="24"/>
          <w:lang w:eastAsia="uk-UA"/>
        </w:rPr>
        <w:t>збирати підписи мешканців (якщо об’єкт розташований у житловому будинку).</w:t>
      </w:r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До цього переліку включено й влаштування засобів безперешкодного доступу — пандусів, поручнів, підйомних механізмів, тактильної плитки тощо.</w:t>
      </w:r>
    </w:p>
    <w:p w:rsidR="001129B1" w:rsidRPr="001129B1" w:rsidRDefault="001129B1" w:rsidP="001129B1">
      <w:pPr>
        <w:spacing w:after="360"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noProof/>
          <w:color w:val="000000"/>
          <w:sz w:val="24"/>
          <w:szCs w:val="24"/>
          <w:lang w:eastAsia="uk-UA"/>
        </w:rPr>
        <w:lastRenderedPageBreak/>
        <w:drawing>
          <wp:inline distT="0" distB="0" distL="0" distR="0" wp14:anchorId="768C15F5" wp14:editId="77334014">
            <wp:extent cx="4472609" cy="2981739"/>
            <wp:effectExtent l="0" t="0" r="4445" b="9525"/>
            <wp:docPr id="4" name="Рисунок 4" descr="https://mindev.gov.ua/storage/app/sites/1/uploaded-files/cetverti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ndev.gov.ua/storage/app/sites/1/uploaded-files/cetvertii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870" cy="298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9B1" w:rsidRPr="001129B1" w:rsidRDefault="001129B1" w:rsidP="001129B1">
      <w:pPr>
        <w:spacing w:line="360" w:lineRule="atLeast"/>
        <w:jc w:val="both"/>
        <w:textAlignment w:val="baseline"/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</w:pPr>
      <w:r w:rsidRPr="001129B1">
        <w:rPr>
          <w:rFonts w:ascii="e-ukraine" w:eastAsia="Times New Roman" w:hAnsi="e-ukraine" w:cs="Times New Roman"/>
          <w:color w:val="000000"/>
          <w:sz w:val="24"/>
          <w:szCs w:val="24"/>
          <w:lang w:eastAsia="uk-UA"/>
        </w:rPr>
        <w:t>Тож кожен підприємець може зробити свій заклад зручним і доступним без зайвих бюрократичних процедур.</w:t>
      </w:r>
    </w:p>
    <w:p w:rsidR="00590B46" w:rsidRDefault="00511D39">
      <w:hyperlink r:id="rId12" w:history="1">
        <w:r w:rsidRPr="00842235">
          <w:rPr>
            <w:rStyle w:val="a5"/>
          </w:rPr>
          <w:t>https://mindev.gov.ua/news/yak-biznesu-oblashtuvaty-bezbariernyi-dostup-prosti-pravyla-ta-mozhlyvosti</w:t>
        </w:r>
      </w:hyperlink>
    </w:p>
    <w:p w:rsidR="00511D39" w:rsidRDefault="00511D39">
      <w:bookmarkStart w:id="0" w:name="_GoBack"/>
      <w:bookmarkEnd w:id="0"/>
    </w:p>
    <w:sectPr w:rsidR="00511D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F7DAD"/>
    <w:multiLevelType w:val="multilevel"/>
    <w:tmpl w:val="40F2E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B1"/>
    <w:rsid w:val="001129B1"/>
    <w:rsid w:val="00511D39"/>
    <w:rsid w:val="005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9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1D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9B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11D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650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952">
                  <w:marLeft w:val="0"/>
                  <w:marRight w:val="375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171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93591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-construction.gov.ua/laws_detail/3626580502787392825?doc_type=2" TargetMode="External"/><Relationship Id="rId12" Type="http://schemas.openxmlformats.org/officeDocument/2006/relationships/hyperlink" Target="https://mindev.gov.ua/news/yak-biznesu-oblashtuvaty-bezbariernyi-dostup-prosti-pravyla-ta-mozhlyv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06-2017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2026-01-19T06:55:00Z</dcterms:created>
  <dcterms:modified xsi:type="dcterms:W3CDTF">2026-02-23T06:56:00Z</dcterms:modified>
</cp:coreProperties>
</file>